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B9C544" w14:textId="77777777" w:rsidR="006D7BD7" w:rsidRPr="008441F4" w:rsidRDefault="006D7BD7" w:rsidP="002B2B31">
      <w:pPr>
        <w:spacing w:line="276" w:lineRule="auto"/>
        <w:rPr>
          <w:rFonts w:cs="Arial"/>
        </w:rPr>
      </w:pPr>
    </w:p>
    <w:sdt>
      <w:sdtPr>
        <w:rPr>
          <w:rFonts w:ascii="Arial" w:eastAsia="Calibri" w:hAnsi="Arial" w:cs="Arial"/>
          <w:color w:val="auto"/>
          <w:sz w:val="24"/>
          <w:szCs w:val="24"/>
          <w:lang w:val="en-GB"/>
        </w:rPr>
        <w:id w:val="-1335447867"/>
        <w:docPartObj>
          <w:docPartGallery w:val="Table of Contents"/>
          <w:docPartUnique/>
        </w:docPartObj>
      </w:sdtPr>
      <w:sdtEndPr>
        <w:rPr>
          <w:rFonts w:eastAsia="Times New Roman"/>
          <w:b/>
          <w:bCs/>
          <w:noProof/>
        </w:rPr>
      </w:sdtEndPr>
      <w:sdtContent>
        <w:p w14:paraId="47294B1F" w14:textId="78375079" w:rsidR="00372ECC" w:rsidRPr="008441F4" w:rsidRDefault="00372ECC" w:rsidP="002B2B31">
          <w:pPr>
            <w:pStyle w:val="TOCHeading"/>
            <w:spacing w:before="0" w:line="276" w:lineRule="auto"/>
            <w:rPr>
              <w:rFonts w:ascii="Arial" w:hAnsi="Arial" w:cs="Arial"/>
              <w:color w:val="000000" w:themeColor="text1"/>
              <w:sz w:val="24"/>
              <w:szCs w:val="24"/>
            </w:rPr>
          </w:pPr>
          <w:r w:rsidRPr="008441F4">
            <w:rPr>
              <w:rFonts w:ascii="Arial" w:hAnsi="Arial" w:cs="Arial"/>
              <w:color w:val="000000" w:themeColor="text1"/>
              <w:sz w:val="24"/>
              <w:szCs w:val="24"/>
            </w:rPr>
            <w:t>Content</w:t>
          </w:r>
        </w:p>
        <w:p w14:paraId="1719D8D5" w14:textId="026FAD3C" w:rsidR="003D05A6" w:rsidRDefault="00372ECC">
          <w:pPr>
            <w:pStyle w:val="TOC1"/>
            <w:tabs>
              <w:tab w:val="left" w:pos="480"/>
              <w:tab w:val="right" w:leader="dot" w:pos="8262"/>
            </w:tabs>
            <w:rPr>
              <w:rFonts w:asciiTheme="minorHAnsi" w:eastAsiaTheme="minorEastAsia" w:hAnsiTheme="minorHAnsi" w:cstheme="minorBidi"/>
              <w:noProof/>
              <w:kern w:val="2"/>
              <w14:ligatures w14:val="standardContextual"/>
            </w:rPr>
          </w:pPr>
          <w:r w:rsidRPr="008441F4">
            <w:rPr>
              <w:rFonts w:cs="Arial"/>
            </w:rPr>
            <w:fldChar w:fldCharType="begin"/>
          </w:r>
          <w:r w:rsidRPr="008441F4">
            <w:rPr>
              <w:rFonts w:cs="Arial"/>
            </w:rPr>
            <w:instrText xml:space="preserve"> TOC \o "1-3" \h \z \u </w:instrText>
          </w:r>
          <w:r w:rsidRPr="008441F4">
            <w:rPr>
              <w:rFonts w:cs="Arial"/>
            </w:rPr>
            <w:fldChar w:fldCharType="separate"/>
          </w:r>
          <w:hyperlink w:anchor="_Toc237314131" w:history="1">
            <w:r w:rsidR="003D05A6" w:rsidRPr="00E05740">
              <w:rPr>
                <w:rStyle w:val="Hyperlink"/>
                <w:rFonts w:cs="Arial"/>
                <w:noProof/>
              </w:rPr>
              <w:t>1.</w:t>
            </w:r>
            <w:r w:rsidR="003D05A6">
              <w:rPr>
                <w:rFonts w:asciiTheme="minorHAnsi" w:eastAsiaTheme="minorEastAsia" w:hAnsiTheme="minorHAnsi" w:cstheme="minorBidi"/>
                <w:noProof/>
                <w:kern w:val="2"/>
                <w14:ligatures w14:val="standardContextual"/>
              </w:rPr>
              <w:tab/>
            </w:r>
            <w:r w:rsidR="003D05A6" w:rsidRPr="00E05740">
              <w:rPr>
                <w:rStyle w:val="Hyperlink"/>
                <w:rFonts w:cs="Arial"/>
                <w:noProof/>
              </w:rPr>
              <w:t>Introduction</w:t>
            </w:r>
            <w:r w:rsidR="003D05A6">
              <w:rPr>
                <w:noProof/>
                <w:webHidden/>
              </w:rPr>
              <w:tab/>
            </w:r>
            <w:r w:rsidR="003D05A6">
              <w:rPr>
                <w:noProof/>
                <w:webHidden/>
              </w:rPr>
              <w:fldChar w:fldCharType="begin"/>
            </w:r>
            <w:r w:rsidR="003D05A6">
              <w:rPr>
                <w:noProof/>
                <w:webHidden/>
              </w:rPr>
              <w:instrText xml:space="preserve"> PAGEREF _Toc237314131 \h </w:instrText>
            </w:r>
            <w:r w:rsidR="003D05A6">
              <w:rPr>
                <w:noProof/>
                <w:webHidden/>
              </w:rPr>
            </w:r>
            <w:r w:rsidR="003D05A6">
              <w:rPr>
                <w:noProof/>
                <w:webHidden/>
              </w:rPr>
              <w:fldChar w:fldCharType="separate"/>
            </w:r>
            <w:r w:rsidR="003D05A6">
              <w:rPr>
                <w:noProof/>
                <w:webHidden/>
              </w:rPr>
              <w:t>1</w:t>
            </w:r>
            <w:r w:rsidR="003D05A6">
              <w:rPr>
                <w:noProof/>
                <w:webHidden/>
              </w:rPr>
              <w:fldChar w:fldCharType="end"/>
            </w:r>
          </w:hyperlink>
        </w:p>
        <w:p w14:paraId="55A00F49" w14:textId="199531E2" w:rsidR="003D05A6" w:rsidRDefault="003D05A6">
          <w:pPr>
            <w:pStyle w:val="TOC2"/>
            <w:tabs>
              <w:tab w:val="right" w:leader="dot" w:pos="8262"/>
            </w:tabs>
            <w:rPr>
              <w:rFonts w:asciiTheme="minorHAnsi" w:eastAsiaTheme="minorEastAsia" w:hAnsiTheme="minorHAnsi" w:cstheme="minorBidi"/>
              <w:noProof/>
              <w:kern w:val="2"/>
              <w14:ligatures w14:val="standardContextual"/>
            </w:rPr>
          </w:pPr>
          <w:hyperlink w:anchor="_Toc237314132" w:history="1">
            <w:r w:rsidRPr="00E05740">
              <w:rPr>
                <w:rStyle w:val="Hyperlink"/>
                <w:rFonts w:cs="Arial"/>
                <w:noProof/>
              </w:rPr>
              <w:t>1.1 Mission, Vision, Values and Objectives</w:t>
            </w:r>
            <w:r>
              <w:rPr>
                <w:noProof/>
                <w:webHidden/>
              </w:rPr>
              <w:tab/>
            </w:r>
            <w:r>
              <w:rPr>
                <w:noProof/>
                <w:webHidden/>
              </w:rPr>
              <w:fldChar w:fldCharType="begin"/>
            </w:r>
            <w:r>
              <w:rPr>
                <w:noProof/>
                <w:webHidden/>
              </w:rPr>
              <w:instrText xml:space="preserve"> PAGEREF _Toc237314132 \h </w:instrText>
            </w:r>
            <w:r>
              <w:rPr>
                <w:noProof/>
                <w:webHidden/>
              </w:rPr>
            </w:r>
            <w:r>
              <w:rPr>
                <w:noProof/>
                <w:webHidden/>
              </w:rPr>
              <w:fldChar w:fldCharType="separate"/>
            </w:r>
            <w:r>
              <w:rPr>
                <w:noProof/>
                <w:webHidden/>
              </w:rPr>
              <w:t>1</w:t>
            </w:r>
            <w:r>
              <w:rPr>
                <w:noProof/>
                <w:webHidden/>
              </w:rPr>
              <w:fldChar w:fldCharType="end"/>
            </w:r>
          </w:hyperlink>
        </w:p>
        <w:p w14:paraId="78774E4A" w14:textId="303A360D" w:rsidR="003D05A6" w:rsidRDefault="003D05A6">
          <w:pPr>
            <w:pStyle w:val="TOC1"/>
            <w:tabs>
              <w:tab w:val="left" w:pos="480"/>
              <w:tab w:val="right" w:leader="dot" w:pos="8262"/>
            </w:tabs>
            <w:rPr>
              <w:rFonts w:asciiTheme="minorHAnsi" w:eastAsiaTheme="minorEastAsia" w:hAnsiTheme="minorHAnsi" w:cstheme="minorBidi"/>
              <w:noProof/>
              <w:kern w:val="2"/>
              <w14:ligatures w14:val="standardContextual"/>
            </w:rPr>
          </w:pPr>
          <w:hyperlink w:anchor="_Toc237314133" w:history="1">
            <w:r w:rsidRPr="00E05740">
              <w:rPr>
                <w:rStyle w:val="Hyperlink"/>
                <w:rFonts w:cs="Arial"/>
                <w:noProof/>
              </w:rPr>
              <w:t>2.</w:t>
            </w:r>
            <w:r>
              <w:rPr>
                <w:rFonts w:asciiTheme="minorHAnsi" w:eastAsiaTheme="minorEastAsia" w:hAnsiTheme="minorHAnsi" w:cstheme="minorBidi"/>
                <w:noProof/>
                <w:kern w:val="2"/>
                <w14:ligatures w14:val="standardContextual"/>
              </w:rPr>
              <w:tab/>
            </w:r>
            <w:r w:rsidRPr="00E05740">
              <w:rPr>
                <w:rStyle w:val="Hyperlink"/>
                <w:rFonts w:cs="Arial"/>
                <w:noProof/>
              </w:rPr>
              <w:t>Opportunities and Risks in the UAE Market: A PESTLE Analysis</w:t>
            </w:r>
            <w:r>
              <w:rPr>
                <w:noProof/>
                <w:webHidden/>
              </w:rPr>
              <w:tab/>
            </w:r>
            <w:r>
              <w:rPr>
                <w:noProof/>
                <w:webHidden/>
              </w:rPr>
              <w:fldChar w:fldCharType="begin"/>
            </w:r>
            <w:r>
              <w:rPr>
                <w:noProof/>
                <w:webHidden/>
              </w:rPr>
              <w:instrText xml:space="preserve"> PAGEREF _Toc237314133 \h </w:instrText>
            </w:r>
            <w:r>
              <w:rPr>
                <w:noProof/>
                <w:webHidden/>
              </w:rPr>
            </w:r>
            <w:r>
              <w:rPr>
                <w:noProof/>
                <w:webHidden/>
              </w:rPr>
              <w:fldChar w:fldCharType="separate"/>
            </w:r>
            <w:r>
              <w:rPr>
                <w:noProof/>
                <w:webHidden/>
              </w:rPr>
              <w:t>3</w:t>
            </w:r>
            <w:r>
              <w:rPr>
                <w:noProof/>
                <w:webHidden/>
              </w:rPr>
              <w:fldChar w:fldCharType="end"/>
            </w:r>
          </w:hyperlink>
        </w:p>
        <w:p w14:paraId="140366DE" w14:textId="3ECAFC9F" w:rsidR="003D05A6" w:rsidRDefault="003D05A6">
          <w:pPr>
            <w:pStyle w:val="TOC2"/>
            <w:tabs>
              <w:tab w:val="right" w:leader="dot" w:pos="8262"/>
            </w:tabs>
            <w:rPr>
              <w:rFonts w:asciiTheme="minorHAnsi" w:eastAsiaTheme="minorEastAsia" w:hAnsiTheme="minorHAnsi" w:cstheme="minorBidi"/>
              <w:noProof/>
              <w:kern w:val="2"/>
              <w14:ligatures w14:val="standardContextual"/>
            </w:rPr>
          </w:pPr>
          <w:hyperlink w:anchor="_Toc237314134" w:history="1">
            <w:r w:rsidRPr="00E05740">
              <w:rPr>
                <w:rStyle w:val="Hyperlink"/>
                <w:rFonts w:cs="Arial"/>
                <w:noProof/>
              </w:rPr>
              <w:t>Key Opportunity 1: Strong Demand for Preventive Healthcare</w:t>
            </w:r>
            <w:r>
              <w:rPr>
                <w:noProof/>
                <w:webHidden/>
              </w:rPr>
              <w:tab/>
            </w:r>
            <w:r>
              <w:rPr>
                <w:noProof/>
                <w:webHidden/>
              </w:rPr>
              <w:fldChar w:fldCharType="begin"/>
            </w:r>
            <w:r>
              <w:rPr>
                <w:noProof/>
                <w:webHidden/>
              </w:rPr>
              <w:instrText xml:space="preserve"> PAGEREF _Toc237314134 \h </w:instrText>
            </w:r>
            <w:r>
              <w:rPr>
                <w:noProof/>
                <w:webHidden/>
              </w:rPr>
            </w:r>
            <w:r>
              <w:rPr>
                <w:noProof/>
                <w:webHidden/>
              </w:rPr>
              <w:fldChar w:fldCharType="separate"/>
            </w:r>
            <w:r>
              <w:rPr>
                <w:noProof/>
                <w:webHidden/>
              </w:rPr>
              <w:t>3</w:t>
            </w:r>
            <w:r>
              <w:rPr>
                <w:noProof/>
                <w:webHidden/>
              </w:rPr>
              <w:fldChar w:fldCharType="end"/>
            </w:r>
          </w:hyperlink>
        </w:p>
        <w:p w14:paraId="618E2165" w14:textId="14E44DE4" w:rsidR="003D05A6" w:rsidRDefault="003D05A6">
          <w:pPr>
            <w:pStyle w:val="TOC2"/>
            <w:tabs>
              <w:tab w:val="right" w:leader="dot" w:pos="8262"/>
            </w:tabs>
            <w:rPr>
              <w:rFonts w:asciiTheme="minorHAnsi" w:eastAsiaTheme="minorEastAsia" w:hAnsiTheme="minorHAnsi" w:cstheme="minorBidi"/>
              <w:noProof/>
              <w:kern w:val="2"/>
              <w14:ligatures w14:val="standardContextual"/>
            </w:rPr>
          </w:pPr>
          <w:hyperlink w:anchor="_Toc237314135" w:history="1">
            <w:r w:rsidRPr="00E05740">
              <w:rPr>
                <w:rStyle w:val="Hyperlink"/>
                <w:rFonts w:cs="Arial"/>
                <w:noProof/>
              </w:rPr>
              <w:t>Key Opportunity 2: High Technological Readiness</w:t>
            </w:r>
            <w:r>
              <w:rPr>
                <w:noProof/>
                <w:webHidden/>
              </w:rPr>
              <w:tab/>
            </w:r>
            <w:r>
              <w:rPr>
                <w:noProof/>
                <w:webHidden/>
              </w:rPr>
              <w:fldChar w:fldCharType="begin"/>
            </w:r>
            <w:r>
              <w:rPr>
                <w:noProof/>
                <w:webHidden/>
              </w:rPr>
              <w:instrText xml:space="preserve"> PAGEREF _Toc237314135 \h </w:instrText>
            </w:r>
            <w:r>
              <w:rPr>
                <w:noProof/>
                <w:webHidden/>
              </w:rPr>
            </w:r>
            <w:r>
              <w:rPr>
                <w:noProof/>
                <w:webHidden/>
              </w:rPr>
              <w:fldChar w:fldCharType="separate"/>
            </w:r>
            <w:r>
              <w:rPr>
                <w:noProof/>
                <w:webHidden/>
              </w:rPr>
              <w:t>4</w:t>
            </w:r>
            <w:r>
              <w:rPr>
                <w:noProof/>
                <w:webHidden/>
              </w:rPr>
              <w:fldChar w:fldCharType="end"/>
            </w:r>
          </w:hyperlink>
        </w:p>
        <w:p w14:paraId="24A41C39" w14:textId="5723FD65" w:rsidR="003D05A6" w:rsidRDefault="003D05A6">
          <w:pPr>
            <w:pStyle w:val="TOC2"/>
            <w:tabs>
              <w:tab w:val="right" w:leader="dot" w:pos="8262"/>
            </w:tabs>
            <w:rPr>
              <w:rFonts w:asciiTheme="minorHAnsi" w:eastAsiaTheme="minorEastAsia" w:hAnsiTheme="minorHAnsi" w:cstheme="minorBidi"/>
              <w:noProof/>
              <w:kern w:val="2"/>
              <w14:ligatures w14:val="standardContextual"/>
            </w:rPr>
          </w:pPr>
          <w:hyperlink w:anchor="_Toc237314136" w:history="1">
            <w:r w:rsidRPr="00E05740">
              <w:rPr>
                <w:rStyle w:val="Hyperlink"/>
                <w:rFonts w:cs="Arial"/>
                <w:noProof/>
              </w:rPr>
              <w:t>Key Risk 1: Regulatory Complexity and Data Governance</w:t>
            </w:r>
            <w:r>
              <w:rPr>
                <w:noProof/>
                <w:webHidden/>
              </w:rPr>
              <w:tab/>
            </w:r>
            <w:r>
              <w:rPr>
                <w:noProof/>
                <w:webHidden/>
              </w:rPr>
              <w:fldChar w:fldCharType="begin"/>
            </w:r>
            <w:r>
              <w:rPr>
                <w:noProof/>
                <w:webHidden/>
              </w:rPr>
              <w:instrText xml:space="preserve"> PAGEREF _Toc237314136 \h </w:instrText>
            </w:r>
            <w:r>
              <w:rPr>
                <w:noProof/>
                <w:webHidden/>
              </w:rPr>
            </w:r>
            <w:r>
              <w:rPr>
                <w:noProof/>
                <w:webHidden/>
              </w:rPr>
              <w:fldChar w:fldCharType="separate"/>
            </w:r>
            <w:r>
              <w:rPr>
                <w:noProof/>
                <w:webHidden/>
              </w:rPr>
              <w:t>4</w:t>
            </w:r>
            <w:r>
              <w:rPr>
                <w:noProof/>
                <w:webHidden/>
              </w:rPr>
              <w:fldChar w:fldCharType="end"/>
            </w:r>
          </w:hyperlink>
        </w:p>
        <w:p w14:paraId="46DB8C33" w14:textId="5D876F84" w:rsidR="003D05A6" w:rsidRDefault="003D05A6">
          <w:pPr>
            <w:pStyle w:val="TOC2"/>
            <w:tabs>
              <w:tab w:val="right" w:leader="dot" w:pos="8262"/>
            </w:tabs>
            <w:rPr>
              <w:rFonts w:asciiTheme="minorHAnsi" w:eastAsiaTheme="minorEastAsia" w:hAnsiTheme="minorHAnsi" w:cstheme="minorBidi"/>
              <w:noProof/>
              <w:kern w:val="2"/>
              <w14:ligatures w14:val="standardContextual"/>
            </w:rPr>
          </w:pPr>
          <w:hyperlink w:anchor="_Toc237314137" w:history="1">
            <w:r w:rsidRPr="00E05740">
              <w:rPr>
                <w:rStyle w:val="Hyperlink"/>
                <w:rFonts w:cs="Arial"/>
                <w:noProof/>
              </w:rPr>
              <w:t>Key Risk 2: Difficulties in Replicating the Swedish Business Model</w:t>
            </w:r>
            <w:r>
              <w:rPr>
                <w:noProof/>
                <w:webHidden/>
              </w:rPr>
              <w:tab/>
            </w:r>
            <w:r>
              <w:rPr>
                <w:noProof/>
                <w:webHidden/>
              </w:rPr>
              <w:fldChar w:fldCharType="begin"/>
            </w:r>
            <w:r>
              <w:rPr>
                <w:noProof/>
                <w:webHidden/>
              </w:rPr>
              <w:instrText xml:space="preserve"> PAGEREF _Toc237314137 \h </w:instrText>
            </w:r>
            <w:r>
              <w:rPr>
                <w:noProof/>
                <w:webHidden/>
              </w:rPr>
            </w:r>
            <w:r>
              <w:rPr>
                <w:noProof/>
                <w:webHidden/>
              </w:rPr>
              <w:fldChar w:fldCharType="separate"/>
            </w:r>
            <w:r>
              <w:rPr>
                <w:noProof/>
                <w:webHidden/>
              </w:rPr>
              <w:t>6</w:t>
            </w:r>
            <w:r>
              <w:rPr>
                <w:noProof/>
                <w:webHidden/>
              </w:rPr>
              <w:fldChar w:fldCharType="end"/>
            </w:r>
          </w:hyperlink>
        </w:p>
        <w:p w14:paraId="6F9E6408" w14:textId="0AADC780" w:rsidR="003D05A6" w:rsidRDefault="003D05A6">
          <w:pPr>
            <w:pStyle w:val="TOC1"/>
            <w:tabs>
              <w:tab w:val="left" w:pos="480"/>
              <w:tab w:val="right" w:leader="dot" w:pos="8262"/>
            </w:tabs>
            <w:rPr>
              <w:rFonts w:asciiTheme="minorHAnsi" w:eastAsiaTheme="minorEastAsia" w:hAnsiTheme="minorHAnsi" w:cstheme="minorBidi"/>
              <w:noProof/>
              <w:kern w:val="2"/>
              <w14:ligatures w14:val="standardContextual"/>
            </w:rPr>
          </w:pPr>
          <w:hyperlink w:anchor="_Toc237314138" w:history="1">
            <w:r w:rsidRPr="00E05740">
              <w:rPr>
                <w:rStyle w:val="Hyperlink"/>
                <w:rFonts w:cs="Arial"/>
                <w:noProof/>
              </w:rPr>
              <w:t>3.</w:t>
            </w:r>
            <w:r>
              <w:rPr>
                <w:rFonts w:asciiTheme="minorHAnsi" w:eastAsiaTheme="minorEastAsia" w:hAnsiTheme="minorHAnsi" w:cstheme="minorBidi"/>
                <w:noProof/>
                <w:kern w:val="2"/>
                <w14:ligatures w14:val="standardContextual"/>
              </w:rPr>
              <w:tab/>
            </w:r>
            <w:r w:rsidRPr="00E05740">
              <w:rPr>
                <w:rStyle w:val="Hyperlink"/>
                <w:rFonts w:cs="Arial"/>
                <w:noProof/>
              </w:rPr>
              <w:t>UAE Preventive Healthcare Industry: Porter's Five Forces analysis</w:t>
            </w:r>
            <w:r>
              <w:rPr>
                <w:noProof/>
                <w:webHidden/>
              </w:rPr>
              <w:tab/>
            </w:r>
            <w:r>
              <w:rPr>
                <w:noProof/>
                <w:webHidden/>
              </w:rPr>
              <w:fldChar w:fldCharType="begin"/>
            </w:r>
            <w:r>
              <w:rPr>
                <w:noProof/>
                <w:webHidden/>
              </w:rPr>
              <w:instrText xml:space="preserve"> PAGEREF _Toc237314138 \h </w:instrText>
            </w:r>
            <w:r>
              <w:rPr>
                <w:noProof/>
                <w:webHidden/>
              </w:rPr>
            </w:r>
            <w:r>
              <w:rPr>
                <w:noProof/>
                <w:webHidden/>
              </w:rPr>
              <w:fldChar w:fldCharType="separate"/>
            </w:r>
            <w:r>
              <w:rPr>
                <w:noProof/>
                <w:webHidden/>
              </w:rPr>
              <w:t>6</w:t>
            </w:r>
            <w:r>
              <w:rPr>
                <w:noProof/>
                <w:webHidden/>
              </w:rPr>
              <w:fldChar w:fldCharType="end"/>
            </w:r>
          </w:hyperlink>
        </w:p>
        <w:p w14:paraId="2A706924" w14:textId="58BFE209" w:rsidR="003D05A6" w:rsidRDefault="003D05A6">
          <w:pPr>
            <w:pStyle w:val="TOC2"/>
            <w:tabs>
              <w:tab w:val="right" w:leader="dot" w:pos="8262"/>
            </w:tabs>
            <w:rPr>
              <w:rFonts w:asciiTheme="minorHAnsi" w:eastAsiaTheme="minorEastAsia" w:hAnsiTheme="minorHAnsi" w:cstheme="minorBidi"/>
              <w:noProof/>
              <w:kern w:val="2"/>
              <w14:ligatures w14:val="standardContextual"/>
            </w:rPr>
          </w:pPr>
          <w:hyperlink w:anchor="_Toc237314139" w:history="1">
            <w:r w:rsidRPr="00E05740">
              <w:rPr>
                <w:rStyle w:val="Hyperlink"/>
                <w:rFonts w:cs="Arial"/>
                <w:noProof/>
              </w:rPr>
              <w:t>The Critical Constraint: Threat of Substitutes</w:t>
            </w:r>
            <w:r>
              <w:rPr>
                <w:noProof/>
                <w:webHidden/>
              </w:rPr>
              <w:tab/>
            </w:r>
            <w:r>
              <w:rPr>
                <w:noProof/>
                <w:webHidden/>
              </w:rPr>
              <w:fldChar w:fldCharType="begin"/>
            </w:r>
            <w:r>
              <w:rPr>
                <w:noProof/>
                <w:webHidden/>
              </w:rPr>
              <w:instrText xml:space="preserve"> PAGEREF _Toc237314139 \h </w:instrText>
            </w:r>
            <w:r>
              <w:rPr>
                <w:noProof/>
                <w:webHidden/>
              </w:rPr>
            </w:r>
            <w:r>
              <w:rPr>
                <w:noProof/>
                <w:webHidden/>
              </w:rPr>
              <w:fldChar w:fldCharType="separate"/>
            </w:r>
            <w:r>
              <w:rPr>
                <w:noProof/>
                <w:webHidden/>
              </w:rPr>
              <w:t>7</w:t>
            </w:r>
            <w:r>
              <w:rPr>
                <w:noProof/>
                <w:webHidden/>
              </w:rPr>
              <w:fldChar w:fldCharType="end"/>
            </w:r>
          </w:hyperlink>
        </w:p>
        <w:p w14:paraId="357E42A6" w14:textId="01006057" w:rsidR="003D05A6" w:rsidRDefault="003D05A6">
          <w:pPr>
            <w:pStyle w:val="TOC2"/>
            <w:tabs>
              <w:tab w:val="right" w:leader="dot" w:pos="8262"/>
            </w:tabs>
            <w:rPr>
              <w:rFonts w:asciiTheme="minorHAnsi" w:eastAsiaTheme="minorEastAsia" w:hAnsiTheme="minorHAnsi" w:cstheme="minorBidi"/>
              <w:noProof/>
              <w:kern w:val="2"/>
              <w14:ligatures w14:val="standardContextual"/>
            </w:rPr>
          </w:pPr>
          <w:hyperlink w:anchor="_Toc237314140" w:history="1">
            <w:r w:rsidRPr="00E05740">
              <w:rPr>
                <w:rStyle w:val="Hyperlink"/>
                <w:rFonts w:cs="Arial"/>
                <w:noProof/>
              </w:rPr>
              <w:t>Entry Mode Response</w:t>
            </w:r>
            <w:r>
              <w:rPr>
                <w:noProof/>
                <w:webHidden/>
              </w:rPr>
              <w:tab/>
            </w:r>
            <w:r>
              <w:rPr>
                <w:noProof/>
                <w:webHidden/>
              </w:rPr>
              <w:fldChar w:fldCharType="begin"/>
            </w:r>
            <w:r>
              <w:rPr>
                <w:noProof/>
                <w:webHidden/>
              </w:rPr>
              <w:instrText xml:space="preserve"> PAGEREF _Toc237314140 \h </w:instrText>
            </w:r>
            <w:r>
              <w:rPr>
                <w:noProof/>
                <w:webHidden/>
              </w:rPr>
            </w:r>
            <w:r>
              <w:rPr>
                <w:noProof/>
                <w:webHidden/>
              </w:rPr>
              <w:fldChar w:fldCharType="separate"/>
            </w:r>
            <w:r>
              <w:rPr>
                <w:noProof/>
                <w:webHidden/>
              </w:rPr>
              <w:t>8</w:t>
            </w:r>
            <w:r>
              <w:rPr>
                <w:noProof/>
                <w:webHidden/>
              </w:rPr>
              <w:fldChar w:fldCharType="end"/>
            </w:r>
          </w:hyperlink>
        </w:p>
        <w:p w14:paraId="47CFB977" w14:textId="74FF27AC" w:rsidR="003D05A6" w:rsidRDefault="003D05A6">
          <w:pPr>
            <w:pStyle w:val="TOC1"/>
            <w:tabs>
              <w:tab w:val="left" w:pos="480"/>
              <w:tab w:val="right" w:leader="dot" w:pos="8262"/>
            </w:tabs>
            <w:rPr>
              <w:rFonts w:asciiTheme="minorHAnsi" w:eastAsiaTheme="minorEastAsia" w:hAnsiTheme="minorHAnsi" w:cstheme="minorBidi"/>
              <w:noProof/>
              <w:kern w:val="2"/>
              <w14:ligatures w14:val="standardContextual"/>
            </w:rPr>
          </w:pPr>
          <w:hyperlink w:anchor="_Toc237314141" w:history="1">
            <w:r w:rsidRPr="00E05740">
              <w:rPr>
                <w:rStyle w:val="Hyperlink"/>
                <w:rFonts w:cs="Arial"/>
                <w:noProof/>
              </w:rPr>
              <w:t>4.</w:t>
            </w:r>
            <w:r>
              <w:rPr>
                <w:rFonts w:asciiTheme="minorHAnsi" w:eastAsiaTheme="minorEastAsia" w:hAnsiTheme="minorHAnsi" w:cstheme="minorBidi"/>
                <w:noProof/>
                <w:kern w:val="2"/>
                <w14:ligatures w14:val="standardContextual"/>
              </w:rPr>
              <w:tab/>
            </w:r>
            <w:r w:rsidRPr="00E05740">
              <w:rPr>
                <w:rStyle w:val="Hyperlink"/>
                <w:rFonts w:cs="Arial"/>
                <w:noProof/>
              </w:rPr>
              <w:t>Entry Mode Selection</w:t>
            </w:r>
            <w:r>
              <w:rPr>
                <w:noProof/>
                <w:webHidden/>
              </w:rPr>
              <w:tab/>
            </w:r>
            <w:r>
              <w:rPr>
                <w:noProof/>
                <w:webHidden/>
              </w:rPr>
              <w:fldChar w:fldCharType="begin"/>
            </w:r>
            <w:r>
              <w:rPr>
                <w:noProof/>
                <w:webHidden/>
              </w:rPr>
              <w:instrText xml:space="preserve"> PAGEREF _Toc237314141 \h </w:instrText>
            </w:r>
            <w:r>
              <w:rPr>
                <w:noProof/>
                <w:webHidden/>
              </w:rPr>
            </w:r>
            <w:r>
              <w:rPr>
                <w:noProof/>
                <w:webHidden/>
              </w:rPr>
              <w:fldChar w:fldCharType="separate"/>
            </w:r>
            <w:r>
              <w:rPr>
                <w:noProof/>
                <w:webHidden/>
              </w:rPr>
              <w:t>9</w:t>
            </w:r>
            <w:r>
              <w:rPr>
                <w:noProof/>
                <w:webHidden/>
              </w:rPr>
              <w:fldChar w:fldCharType="end"/>
            </w:r>
          </w:hyperlink>
        </w:p>
        <w:p w14:paraId="070AD7EF" w14:textId="0B5F15A4" w:rsidR="003D05A6" w:rsidRDefault="003D05A6">
          <w:pPr>
            <w:pStyle w:val="TOC2"/>
            <w:tabs>
              <w:tab w:val="right" w:leader="dot" w:pos="8262"/>
            </w:tabs>
            <w:rPr>
              <w:rFonts w:asciiTheme="minorHAnsi" w:eastAsiaTheme="minorEastAsia" w:hAnsiTheme="minorHAnsi" w:cstheme="minorBidi"/>
              <w:noProof/>
              <w:kern w:val="2"/>
              <w14:ligatures w14:val="standardContextual"/>
            </w:rPr>
          </w:pPr>
          <w:hyperlink w:anchor="_Toc237314142" w:history="1">
            <w:r w:rsidRPr="00E05740">
              <w:rPr>
                <w:rStyle w:val="Hyperlink"/>
                <w:rFonts w:cs="Arial"/>
                <w:noProof/>
              </w:rPr>
              <w:t>Reason 1: Protecting Proprietary Technology &amp; Firm-Specific Knowledge</w:t>
            </w:r>
            <w:r>
              <w:rPr>
                <w:noProof/>
                <w:webHidden/>
              </w:rPr>
              <w:tab/>
            </w:r>
            <w:r>
              <w:rPr>
                <w:noProof/>
                <w:webHidden/>
              </w:rPr>
              <w:fldChar w:fldCharType="begin"/>
            </w:r>
            <w:r>
              <w:rPr>
                <w:noProof/>
                <w:webHidden/>
              </w:rPr>
              <w:instrText xml:space="preserve"> PAGEREF _Toc237314142 \h </w:instrText>
            </w:r>
            <w:r>
              <w:rPr>
                <w:noProof/>
                <w:webHidden/>
              </w:rPr>
            </w:r>
            <w:r>
              <w:rPr>
                <w:noProof/>
                <w:webHidden/>
              </w:rPr>
              <w:fldChar w:fldCharType="separate"/>
            </w:r>
            <w:r>
              <w:rPr>
                <w:noProof/>
                <w:webHidden/>
              </w:rPr>
              <w:t>9</w:t>
            </w:r>
            <w:r>
              <w:rPr>
                <w:noProof/>
                <w:webHidden/>
              </w:rPr>
              <w:fldChar w:fldCharType="end"/>
            </w:r>
          </w:hyperlink>
        </w:p>
        <w:p w14:paraId="460AAD29" w14:textId="4DFE13B8" w:rsidR="003D05A6" w:rsidRDefault="003D05A6">
          <w:pPr>
            <w:pStyle w:val="TOC2"/>
            <w:tabs>
              <w:tab w:val="right" w:leader="dot" w:pos="8262"/>
            </w:tabs>
            <w:rPr>
              <w:rFonts w:asciiTheme="minorHAnsi" w:eastAsiaTheme="minorEastAsia" w:hAnsiTheme="minorHAnsi" w:cstheme="minorBidi"/>
              <w:noProof/>
              <w:kern w:val="2"/>
              <w14:ligatures w14:val="standardContextual"/>
            </w:rPr>
          </w:pPr>
          <w:hyperlink w:anchor="_Toc237314143" w:history="1">
            <w:r w:rsidRPr="00E05740">
              <w:rPr>
                <w:rStyle w:val="Hyperlink"/>
                <w:rFonts w:cs="Arial"/>
                <w:noProof/>
              </w:rPr>
              <w:t>Reason 2: Maximising Operational Control and Service Consistency</w:t>
            </w:r>
            <w:r>
              <w:rPr>
                <w:noProof/>
                <w:webHidden/>
              </w:rPr>
              <w:tab/>
            </w:r>
            <w:r>
              <w:rPr>
                <w:noProof/>
                <w:webHidden/>
              </w:rPr>
              <w:fldChar w:fldCharType="begin"/>
            </w:r>
            <w:r>
              <w:rPr>
                <w:noProof/>
                <w:webHidden/>
              </w:rPr>
              <w:instrText xml:space="preserve"> PAGEREF _Toc237314143 \h </w:instrText>
            </w:r>
            <w:r>
              <w:rPr>
                <w:noProof/>
                <w:webHidden/>
              </w:rPr>
            </w:r>
            <w:r>
              <w:rPr>
                <w:noProof/>
                <w:webHidden/>
              </w:rPr>
              <w:fldChar w:fldCharType="separate"/>
            </w:r>
            <w:r>
              <w:rPr>
                <w:noProof/>
                <w:webHidden/>
              </w:rPr>
              <w:t>9</w:t>
            </w:r>
            <w:r>
              <w:rPr>
                <w:noProof/>
                <w:webHidden/>
              </w:rPr>
              <w:fldChar w:fldCharType="end"/>
            </w:r>
          </w:hyperlink>
        </w:p>
        <w:p w14:paraId="22A1E6B9" w14:textId="7792E489" w:rsidR="003D05A6" w:rsidRDefault="003D05A6">
          <w:pPr>
            <w:pStyle w:val="TOC2"/>
            <w:tabs>
              <w:tab w:val="right" w:leader="dot" w:pos="8262"/>
            </w:tabs>
            <w:rPr>
              <w:rFonts w:asciiTheme="minorHAnsi" w:eastAsiaTheme="minorEastAsia" w:hAnsiTheme="minorHAnsi" w:cstheme="minorBidi"/>
              <w:noProof/>
              <w:kern w:val="2"/>
              <w14:ligatures w14:val="standardContextual"/>
            </w:rPr>
          </w:pPr>
          <w:hyperlink w:anchor="_Toc237314144" w:history="1">
            <w:r w:rsidRPr="00E05740">
              <w:rPr>
                <w:rStyle w:val="Hyperlink"/>
                <w:rFonts w:cs="Arial"/>
                <w:noProof/>
              </w:rPr>
              <w:t>Reason 3: Leveraging UAE Institutional Conditions</w:t>
            </w:r>
            <w:r>
              <w:rPr>
                <w:noProof/>
                <w:webHidden/>
              </w:rPr>
              <w:tab/>
            </w:r>
            <w:r>
              <w:rPr>
                <w:noProof/>
                <w:webHidden/>
              </w:rPr>
              <w:fldChar w:fldCharType="begin"/>
            </w:r>
            <w:r>
              <w:rPr>
                <w:noProof/>
                <w:webHidden/>
              </w:rPr>
              <w:instrText xml:space="preserve"> PAGEREF _Toc237314144 \h </w:instrText>
            </w:r>
            <w:r>
              <w:rPr>
                <w:noProof/>
                <w:webHidden/>
              </w:rPr>
            </w:r>
            <w:r>
              <w:rPr>
                <w:noProof/>
                <w:webHidden/>
              </w:rPr>
              <w:fldChar w:fldCharType="separate"/>
            </w:r>
            <w:r>
              <w:rPr>
                <w:noProof/>
                <w:webHidden/>
              </w:rPr>
              <w:t>10</w:t>
            </w:r>
            <w:r>
              <w:rPr>
                <w:noProof/>
                <w:webHidden/>
              </w:rPr>
              <w:fldChar w:fldCharType="end"/>
            </w:r>
          </w:hyperlink>
        </w:p>
        <w:p w14:paraId="381CFF1B" w14:textId="5EC8CB96" w:rsidR="003D05A6" w:rsidRDefault="003D05A6">
          <w:pPr>
            <w:pStyle w:val="TOC2"/>
            <w:tabs>
              <w:tab w:val="right" w:leader="dot" w:pos="8262"/>
            </w:tabs>
            <w:rPr>
              <w:rFonts w:asciiTheme="minorHAnsi" w:eastAsiaTheme="minorEastAsia" w:hAnsiTheme="minorHAnsi" w:cstheme="minorBidi"/>
              <w:noProof/>
              <w:kern w:val="2"/>
              <w14:ligatures w14:val="standardContextual"/>
            </w:rPr>
          </w:pPr>
          <w:hyperlink w:anchor="_Toc237314145" w:history="1">
            <w:r w:rsidRPr="00E05740">
              <w:rPr>
                <w:rStyle w:val="Hyperlink"/>
                <w:rFonts w:cs="Arial"/>
                <w:noProof/>
              </w:rPr>
              <w:t>Reason 4: Replicating Neko's Existing Business Model</w:t>
            </w:r>
            <w:r>
              <w:rPr>
                <w:noProof/>
                <w:webHidden/>
              </w:rPr>
              <w:tab/>
            </w:r>
            <w:r>
              <w:rPr>
                <w:noProof/>
                <w:webHidden/>
              </w:rPr>
              <w:fldChar w:fldCharType="begin"/>
            </w:r>
            <w:r>
              <w:rPr>
                <w:noProof/>
                <w:webHidden/>
              </w:rPr>
              <w:instrText xml:space="preserve"> PAGEREF _Toc237314145 \h </w:instrText>
            </w:r>
            <w:r>
              <w:rPr>
                <w:noProof/>
                <w:webHidden/>
              </w:rPr>
            </w:r>
            <w:r>
              <w:rPr>
                <w:noProof/>
                <w:webHidden/>
              </w:rPr>
              <w:fldChar w:fldCharType="separate"/>
            </w:r>
            <w:r>
              <w:rPr>
                <w:noProof/>
                <w:webHidden/>
              </w:rPr>
              <w:t>10</w:t>
            </w:r>
            <w:r>
              <w:rPr>
                <w:noProof/>
                <w:webHidden/>
              </w:rPr>
              <w:fldChar w:fldCharType="end"/>
            </w:r>
          </w:hyperlink>
        </w:p>
        <w:p w14:paraId="4B73759E" w14:textId="54690FFD" w:rsidR="003D05A6" w:rsidRDefault="003D05A6">
          <w:pPr>
            <w:pStyle w:val="TOC1"/>
            <w:tabs>
              <w:tab w:val="left" w:pos="480"/>
              <w:tab w:val="right" w:leader="dot" w:pos="8262"/>
            </w:tabs>
            <w:rPr>
              <w:rFonts w:asciiTheme="minorHAnsi" w:eastAsiaTheme="minorEastAsia" w:hAnsiTheme="minorHAnsi" w:cstheme="minorBidi"/>
              <w:noProof/>
              <w:kern w:val="2"/>
              <w14:ligatures w14:val="standardContextual"/>
            </w:rPr>
          </w:pPr>
          <w:hyperlink w:anchor="_Toc237314146" w:history="1">
            <w:r w:rsidRPr="00E05740">
              <w:rPr>
                <w:rStyle w:val="Hyperlink"/>
                <w:rFonts w:cs="Arial"/>
                <w:noProof/>
              </w:rPr>
              <w:t>5.</w:t>
            </w:r>
            <w:r>
              <w:rPr>
                <w:rFonts w:asciiTheme="minorHAnsi" w:eastAsiaTheme="minorEastAsia" w:hAnsiTheme="minorHAnsi" w:cstheme="minorBidi"/>
                <w:noProof/>
                <w:kern w:val="2"/>
                <w14:ligatures w14:val="standardContextual"/>
              </w:rPr>
              <w:tab/>
            </w:r>
            <w:r w:rsidRPr="00E05740">
              <w:rPr>
                <w:rStyle w:val="Hyperlink"/>
                <w:rFonts w:cs="Arial"/>
                <w:noProof/>
              </w:rPr>
              <w:t>External Shocks and Mitigation Strategies</w:t>
            </w:r>
            <w:r>
              <w:rPr>
                <w:noProof/>
                <w:webHidden/>
              </w:rPr>
              <w:tab/>
            </w:r>
            <w:r>
              <w:rPr>
                <w:noProof/>
                <w:webHidden/>
              </w:rPr>
              <w:fldChar w:fldCharType="begin"/>
            </w:r>
            <w:r>
              <w:rPr>
                <w:noProof/>
                <w:webHidden/>
              </w:rPr>
              <w:instrText xml:space="preserve"> PAGEREF _Toc237314146 \h </w:instrText>
            </w:r>
            <w:r>
              <w:rPr>
                <w:noProof/>
                <w:webHidden/>
              </w:rPr>
            </w:r>
            <w:r>
              <w:rPr>
                <w:noProof/>
                <w:webHidden/>
              </w:rPr>
              <w:fldChar w:fldCharType="separate"/>
            </w:r>
            <w:r>
              <w:rPr>
                <w:noProof/>
                <w:webHidden/>
              </w:rPr>
              <w:t>11</w:t>
            </w:r>
            <w:r>
              <w:rPr>
                <w:noProof/>
                <w:webHidden/>
              </w:rPr>
              <w:fldChar w:fldCharType="end"/>
            </w:r>
          </w:hyperlink>
        </w:p>
        <w:p w14:paraId="2773FAD4" w14:textId="0F3B7CFC" w:rsidR="003D05A6" w:rsidRDefault="003D05A6">
          <w:pPr>
            <w:pStyle w:val="TOC1"/>
            <w:tabs>
              <w:tab w:val="left" w:pos="480"/>
              <w:tab w:val="right" w:leader="dot" w:pos="8262"/>
            </w:tabs>
            <w:rPr>
              <w:rFonts w:asciiTheme="minorHAnsi" w:eastAsiaTheme="minorEastAsia" w:hAnsiTheme="minorHAnsi" w:cstheme="minorBidi"/>
              <w:noProof/>
              <w:kern w:val="2"/>
              <w14:ligatures w14:val="standardContextual"/>
            </w:rPr>
          </w:pPr>
          <w:hyperlink w:anchor="_Toc237314147" w:history="1">
            <w:r w:rsidRPr="00E05740">
              <w:rPr>
                <w:rStyle w:val="Hyperlink"/>
                <w:rFonts w:cs="Arial"/>
                <w:noProof/>
              </w:rPr>
              <w:t>6.</w:t>
            </w:r>
            <w:r>
              <w:rPr>
                <w:rFonts w:asciiTheme="minorHAnsi" w:eastAsiaTheme="minorEastAsia" w:hAnsiTheme="minorHAnsi" w:cstheme="minorBidi"/>
                <w:noProof/>
                <w:kern w:val="2"/>
                <w14:ligatures w14:val="standardContextual"/>
              </w:rPr>
              <w:tab/>
            </w:r>
            <w:r w:rsidRPr="00E05740">
              <w:rPr>
                <w:rStyle w:val="Hyperlink"/>
                <w:rFonts w:cs="Arial"/>
                <w:noProof/>
              </w:rPr>
              <w:t>Recommendations</w:t>
            </w:r>
            <w:r>
              <w:rPr>
                <w:noProof/>
                <w:webHidden/>
              </w:rPr>
              <w:tab/>
            </w:r>
            <w:r>
              <w:rPr>
                <w:noProof/>
                <w:webHidden/>
              </w:rPr>
              <w:fldChar w:fldCharType="begin"/>
            </w:r>
            <w:r>
              <w:rPr>
                <w:noProof/>
                <w:webHidden/>
              </w:rPr>
              <w:instrText xml:space="preserve"> PAGEREF _Toc237314147 \h </w:instrText>
            </w:r>
            <w:r>
              <w:rPr>
                <w:noProof/>
                <w:webHidden/>
              </w:rPr>
            </w:r>
            <w:r>
              <w:rPr>
                <w:noProof/>
                <w:webHidden/>
              </w:rPr>
              <w:fldChar w:fldCharType="separate"/>
            </w:r>
            <w:r>
              <w:rPr>
                <w:noProof/>
                <w:webHidden/>
              </w:rPr>
              <w:t>13</w:t>
            </w:r>
            <w:r>
              <w:rPr>
                <w:noProof/>
                <w:webHidden/>
              </w:rPr>
              <w:fldChar w:fldCharType="end"/>
            </w:r>
          </w:hyperlink>
        </w:p>
        <w:p w14:paraId="276A54FC" w14:textId="5C7E83AC" w:rsidR="003D05A6" w:rsidRDefault="003D05A6">
          <w:pPr>
            <w:pStyle w:val="TOC1"/>
            <w:tabs>
              <w:tab w:val="left" w:pos="480"/>
              <w:tab w:val="right" w:leader="dot" w:pos="8262"/>
            </w:tabs>
            <w:rPr>
              <w:rFonts w:asciiTheme="minorHAnsi" w:eastAsiaTheme="minorEastAsia" w:hAnsiTheme="minorHAnsi" w:cstheme="minorBidi"/>
              <w:noProof/>
              <w:kern w:val="2"/>
              <w14:ligatures w14:val="standardContextual"/>
            </w:rPr>
          </w:pPr>
          <w:hyperlink w:anchor="_Toc237314148" w:history="1">
            <w:r w:rsidRPr="00E05740">
              <w:rPr>
                <w:rStyle w:val="Hyperlink"/>
                <w:rFonts w:cs="Arial"/>
                <w:noProof/>
              </w:rPr>
              <w:t>7.</w:t>
            </w:r>
            <w:r>
              <w:rPr>
                <w:rFonts w:asciiTheme="minorHAnsi" w:eastAsiaTheme="minorEastAsia" w:hAnsiTheme="minorHAnsi" w:cstheme="minorBidi"/>
                <w:noProof/>
                <w:kern w:val="2"/>
                <w14:ligatures w14:val="standardContextual"/>
              </w:rPr>
              <w:tab/>
            </w:r>
            <w:r w:rsidRPr="00E05740">
              <w:rPr>
                <w:rStyle w:val="Hyperlink"/>
                <w:rFonts w:cs="Arial"/>
                <w:noProof/>
              </w:rPr>
              <w:t>Conclusion</w:t>
            </w:r>
            <w:r>
              <w:rPr>
                <w:noProof/>
                <w:webHidden/>
              </w:rPr>
              <w:tab/>
            </w:r>
            <w:r>
              <w:rPr>
                <w:noProof/>
                <w:webHidden/>
              </w:rPr>
              <w:fldChar w:fldCharType="begin"/>
            </w:r>
            <w:r>
              <w:rPr>
                <w:noProof/>
                <w:webHidden/>
              </w:rPr>
              <w:instrText xml:space="preserve"> PAGEREF _Toc237314148 \h </w:instrText>
            </w:r>
            <w:r>
              <w:rPr>
                <w:noProof/>
                <w:webHidden/>
              </w:rPr>
            </w:r>
            <w:r>
              <w:rPr>
                <w:noProof/>
                <w:webHidden/>
              </w:rPr>
              <w:fldChar w:fldCharType="separate"/>
            </w:r>
            <w:r>
              <w:rPr>
                <w:noProof/>
                <w:webHidden/>
              </w:rPr>
              <w:t>13</w:t>
            </w:r>
            <w:r>
              <w:rPr>
                <w:noProof/>
                <w:webHidden/>
              </w:rPr>
              <w:fldChar w:fldCharType="end"/>
            </w:r>
          </w:hyperlink>
        </w:p>
        <w:p w14:paraId="354B0357" w14:textId="7890E9F1" w:rsidR="003D05A6" w:rsidRDefault="003D05A6">
          <w:pPr>
            <w:pStyle w:val="TOC2"/>
            <w:tabs>
              <w:tab w:val="right" w:leader="dot" w:pos="8262"/>
            </w:tabs>
            <w:rPr>
              <w:rFonts w:asciiTheme="minorHAnsi" w:eastAsiaTheme="minorEastAsia" w:hAnsiTheme="minorHAnsi" w:cstheme="minorBidi"/>
              <w:noProof/>
              <w:kern w:val="2"/>
              <w14:ligatures w14:val="standardContextual"/>
            </w:rPr>
          </w:pPr>
          <w:hyperlink w:anchor="_Toc237314149" w:history="1">
            <w:r w:rsidRPr="00E05740">
              <w:rPr>
                <w:rStyle w:val="Hyperlink"/>
                <w:rFonts w:cs="Arial"/>
                <w:noProof/>
              </w:rPr>
              <w:t>References</w:t>
            </w:r>
            <w:r>
              <w:rPr>
                <w:noProof/>
                <w:webHidden/>
              </w:rPr>
              <w:tab/>
            </w:r>
            <w:r>
              <w:rPr>
                <w:noProof/>
                <w:webHidden/>
              </w:rPr>
              <w:fldChar w:fldCharType="begin"/>
            </w:r>
            <w:r>
              <w:rPr>
                <w:noProof/>
                <w:webHidden/>
              </w:rPr>
              <w:instrText xml:space="preserve"> PAGEREF _Toc237314149 \h </w:instrText>
            </w:r>
            <w:r>
              <w:rPr>
                <w:noProof/>
                <w:webHidden/>
              </w:rPr>
            </w:r>
            <w:r>
              <w:rPr>
                <w:noProof/>
                <w:webHidden/>
              </w:rPr>
              <w:fldChar w:fldCharType="separate"/>
            </w:r>
            <w:r>
              <w:rPr>
                <w:noProof/>
                <w:webHidden/>
              </w:rPr>
              <w:t>14</w:t>
            </w:r>
            <w:r>
              <w:rPr>
                <w:noProof/>
                <w:webHidden/>
              </w:rPr>
              <w:fldChar w:fldCharType="end"/>
            </w:r>
          </w:hyperlink>
        </w:p>
        <w:p w14:paraId="19CBF880" w14:textId="3F1BE5E7" w:rsidR="003D05A6" w:rsidRDefault="003D05A6">
          <w:pPr>
            <w:pStyle w:val="TOC2"/>
            <w:tabs>
              <w:tab w:val="right" w:leader="dot" w:pos="8262"/>
            </w:tabs>
            <w:rPr>
              <w:rFonts w:asciiTheme="minorHAnsi" w:eastAsiaTheme="minorEastAsia" w:hAnsiTheme="minorHAnsi" w:cstheme="minorBidi"/>
              <w:noProof/>
              <w:kern w:val="2"/>
              <w14:ligatures w14:val="standardContextual"/>
            </w:rPr>
          </w:pPr>
          <w:hyperlink w:anchor="_Toc237314150" w:history="1">
            <w:r w:rsidRPr="00E05740">
              <w:rPr>
                <w:rStyle w:val="Hyperlink"/>
                <w:rFonts w:cs="Arial"/>
                <w:noProof/>
              </w:rPr>
              <w:t>Appendix: Declaration of AI Use</w:t>
            </w:r>
            <w:r>
              <w:rPr>
                <w:noProof/>
                <w:webHidden/>
              </w:rPr>
              <w:tab/>
            </w:r>
            <w:r>
              <w:rPr>
                <w:noProof/>
                <w:webHidden/>
              </w:rPr>
              <w:fldChar w:fldCharType="begin"/>
            </w:r>
            <w:r>
              <w:rPr>
                <w:noProof/>
                <w:webHidden/>
              </w:rPr>
              <w:instrText xml:space="preserve"> PAGEREF _Toc237314150 \h </w:instrText>
            </w:r>
            <w:r>
              <w:rPr>
                <w:noProof/>
                <w:webHidden/>
              </w:rPr>
            </w:r>
            <w:r>
              <w:rPr>
                <w:noProof/>
                <w:webHidden/>
              </w:rPr>
              <w:fldChar w:fldCharType="separate"/>
            </w:r>
            <w:r>
              <w:rPr>
                <w:noProof/>
                <w:webHidden/>
              </w:rPr>
              <w:t>17</w:t>
            </w:r>
            <w:r>
              <w:rPr>
                <w:noProof/>
                <w:webHidden/>
              </w:rPr>
              <w:fldChar w:fldCharType="end"/>
            </w:r>
          </w:hyperlink>
        </w:p>
        <w:p w14:paraId="20D44E1B" w14:textId="4108FC73" w:rsidR="002A1050" w:rsidRPr="008441F4" w:rsidRDefault="00372ECC" w:rsidP="0005105D">
          <w:pPr>
            <w:rPr>
              <w:rFonts w:cs="Arial"/>
            </w:rPr>
          </w:pPr>
          <w:r w:rsidRPr="008441F4">
            <w:rPr>
              <w:rFonts w:cs="Arial"/>
              <w:b/>
              <w:bCs/>
              <w:noProof/>
            </w:rPr>
            <w:fldChar w:fldCharType="end"/>
          </w:r>
        </w:p>
        <w:p w14:paraId="0E8FA4A5" w14:textId="69427D06" w:rsidR="0005105D" w:rsidRPr="008441F4" w:rsidRDefault="0005105D" w:rsidP="0005105D">
          <w:pPr>
            <w:pStyle w:val="TableofFigures"/>
            <w:tabs>
              <w:tab w:val="right" w:leader="dot" w:pos="8262"/>
            </w:tabs>
            <w:rPr>
              <w:rFonts w:ascii="Arial" w:eastAsiaTheme="minorEastAsia" w:hAnsi="Arial" w:cs="Arial"/>
              <w:i w:val="0"/>
              <w:iCs w:val="0"/>
              <w:noProof/>
              <w:kern w:val="2"/>
              <w:sz w:val="24"/>
              <w:szCs w:val="24"/>
              <w14:ligatures w14:val="standardContextual"/>
            </w:rPr>
          </w:pPr>
          <w:r w:rsidRPr="008441F4">
            <w:rPr>
              <w:rFonts w:ascii="Arial" w:hAnsi="Arial" w:cs="Arial"/>
              <w:i w:val="0"/>
              <w:iCs w:val="0"/>
              <w:sz w:val="24"/>
              <w:szCs w:val="24"/>
            </w:rPr>
            <w:fldChar w:fldCharType="begin"/>
          </w:r>
          <w:r w:rsidRPr="008441F4">
            <w:rPr>
              <w:rFonts w:ascii="Arial" w:hAnsi="Arial" w:cs="Arial"/>
              <w:i w:val="0"/>
              <w:iCs w:val="0"/>
              <w:sz w:val="24"/>
              <w:szCs w:val="24"/>
            </w:rPr>
            <w:instrText xml:space="preserve"> TOC \h \z \c "Table" </w:instrText>
          </w:r>
          <w:r w:rsidRPr="008441F4">
            <w:rPr>
              <w:rFonts w:ascii="Arial" w:hAnsi="Arial" w:cs="Arial"/>
              <w:i w:val="0"/>
              <w:iCs w:val="0"/>
              <w:sz w:val="24"/>
              <w:szCs w:val="24"/>
            </w:rPr>
            <w:fldChar w:fldCharType="separate"/>
          </w:r>
          <w:hyperlink w:anchor="_Toc237291752" w:history="1">
            <w:r w:rsidRPr="008441F4">
              <w:rPr>
                <w:rStyle w:val="Hyperlink"/>
                <w:rFonts w:ascii="Arial" w:hAnsi="Arial" w:cs="Arial"/>
                <w:i w:val="0"/>
                <w:iCs w:val="0"/>
                <w:noProof/>
                <w:sz w:val="24"/>
                <w:szCs w:val="24"/>
              </w:rPr>
              <w:t>Table 1 Industry Attractiveness Assessment</w:t>
            </w:r>
            <w:r w:rsidRPr="008441F4">
              <w:rPr>
                <w:rFonts w:ascii="Arial" w:hAnsi="Arial" w:cs="Arial"/>
                <w:i w:val="0"/>
                <w:iCs w:val="0"/>
                <w:noProof/>
                <w:webHidden/>
                <w:sz w:val="24"/>
                <w:szCs w:val="24"/>
              </w:rPr>
              <w:tab/>
            </w:r>
            <w:r w:rsidRPr="008441F4">
              <w:rPr>
                <w:rFonts w:ascii="Arial" w:hAnsi="Arial" w:cs="Arial"/>
                <w:i w:val="0"/>
                <w:iCs w:val="0"/>
                <w:noProof/>
                <w:webHidden/>
                <w:sz w:val="24"/>
                <w:szCs w:val="24"/>
              </w:rPr>
              <w:fldChar w:fldCharType="begin"/>
            </w:r>
            <w:r w:rsidRPr="008441F4">
              <w:rPr>
                <w:rFonts w:ascii="Arial" w:hAnsi="Arial" w:cs="Arial"/>
                <w:i w:val="0"/>
                <w:iCs w:val="0"/>
                <w:noProof/>
                <w:webHidden/>
                <w:sz w:val="24"/>
                <w:szCs w:val="24"/>
              </w:rPr>
              <w:instrText xml:space="preserve"> PAGEREF _Toc237291752 \h </w:instrText>
            </w:r>
            <w:r w:rsidRPr="008441F4">
              <w:rPr>
                <w:rFonts w:ascii="Arial" w:hAnsi="Arial" w:cs="Arial"/>
                <w:i w:val="0"/>
                <w:iCs w:val="0"/>
                <w:noProof/>
                <w:webHidden/>
                <w:sz w:val="24"/>
                <w:szCs w:val="24"/>
              </w:rPr>
            </w:r>
            <w:r w:rsidRPr="008441F4">
              <w:rPr>
                <w:rFonts w:ascii="Arial" w:hAnsi="Arial" w:cs="Arial"/>
                <w:i w:val="0"/>
                <w:iCs w:val="0"/>
                <w:noProof/>
                <w:webHidden/>
                <w:sz w:val="24"/>
                <w:szCs w:val="24"/>
              </w:rPr>
              <w:fldChar w:fldCharType="separate"/>
            </w:r>
            <w:r w:rsidRPr="008441F4">
              <w:rPr>
                <w:rFonts w:ascii="Arial" w:hAnsi="Arial" w:cs="Arial"/>
                <w:i w:val="0"/>
                <w:iCs w:val="0"/>
                <w:noProof/>
                <w:webHidden/>
                <w:sz w:val="24"/>
                <w:szCs w:val="24"/>
              </w:rPr>
              <w:t>7</w:t>
            </w:r>
            <w:r w:rsidRPr="008441F4">
              <w:rPr>
                <w:rFonts w:ascii="Arial" w:hAnsi="Arial" w:cs="Arial"/>
                <w:i w:val="0"/>
                <w:iCs w:val="0"/>
                <w:noProof/>
                <w:webHidden/>
                <w:sz w:val="24"/>
                <w:szCs w:val="24"/>
              </w:rPr>
              <w:fldChar w:fldCharType="end"/>
            </w:r>
          </w:hyperlink>
        </w:p>
        <w:p w14:paraId="37ABFA26" w14:textId="7C0028D5" w:rsidR="0005105D" w:rsidRPr="008441F4" w:rsidRDefault="0005105D" w:rsidP="0005105D">
          <w:pPr>
            <w:pStyle w:val="TableofFigures"/>
            <w:tabs>
              <w:tab w:val="right" w:leader="dot" w:pos="8262"/>
            </w:tabs>
            <w:rPr>
              <w:rFonts w:ascii="Arial" w:eastAsiaTheme="minorEastAsia" w:hAnsi="Arial" w:cs="Arial"/>
              <w:i w:val="0"/>
              <w:iCs w:val="0"/>
              <w:noProof/>
              <w:kern w:val="2"/>
              <w:sz w:val="24"/>
              <w:szCs w:val="24"/>
              <w14:ligatures w14:val="standardContextual"/>
            </w:rPr>
          </w:pPr>
          <w:hyperlink w:anchor="_Toc237291753" w:history="1">
            <w:r w:rsidRPr="008441F4">
              <w:rPr>
                <w:rStyle w:val="Hyperlink"/>
                <w:rFonts w:ascii="Arial" w:hAnsi="Arial" w:cs="Arial"/>
                <w:i w:val="0"/>
                <w:iCs w:val="0"/>
                <w:noProof/>
                <w:sz w:val="24"/>
                <w:szCs w:val="24"/>
              </w:rPr>
              <w:t>Table 2 Evaluation of alternative ways</w:t>
            </w:r>
            <w:r w:rsidRPr="008441F4">
              <w:rPr>
                <w:rFonts w:ascii="Arial" w:hAnsi="Arial" w:cs="Arial"/>
                <w:i w:val="0"/>
                <w:iCs w:val="0"/>
                <w:noProof/>
                <w:webHidden/>
                <w:sz w:val="24"/>
                <w:szCs w:val="24"/>
              </w:rPr>
              <w:tab/>
            </w:r>
            <w:r w:rsidRPr="008441F4">
              <w:rPr>
                <w:rFonts w:ascii="Arial" w:hAnsi="Arial" w:cs="Arial"/>
                <w:i w:val="0"/>
                <w:iCs w:val="0"/>
                <w:noProof/>
                <w:webHidden/>
                <w:sz w:val="24"/>
                <w:szCs w:val="24"/>
              </w:rPr>
              <w:fldChar w:fldCharType="begin"/>
            </w:r>
            <w:r w:rsidRPr="008441F4">
              <w:rPr>
                <w:rFonts w:ascii="Arial" w:hAnsi="Arial" w:cs="Arial"/>
                <w:i w:val="0"/>
                <w:iCs w:val="0"/>
                <w:noProof/>
                <w:webHidden/>
                <w:sz w:val="24"/>
                <w:szCs w:val="24"/>
              </w:rPr>
              <w:instrText xml:space="preserve"> PAGEREF _Toc237291753 \h </w:instrText>
            </w:r>
            <w:r w:rsidRPr="008441F4">
              <w:rPr>
                <w:rFonts w:ascii="Arial" w:hAnsi="Arial" w:cs="Arial"/>
                <w:i w:val="0"/>
                <w:iCs w:val="0"/>
                <w:noProof/>
                <w:webHidden/>
                <w:sz w:val="24"/>
                <w:szCs w:val="24"/>
              </w:rPr>
            </w:r>
            <w:r w:rsidRPr="008441F4">
              <w:rPr>
                <w:rFonts w:ascii="Arial" w:hAnsi="Arial" w:cs="Arial"/>
                <w:i w:val="0"/>
                <w:iCs w:val="0"/>
                <w:noProof/>
                <w:webHidden/>
                <w:sz w:val="24"/>
                <w:szCs w:val="24"/>
              </w:rPr>
              <w:fldChar w:fldCharType="separate"/>
            </w:r>
            <w:r w:rsidRPr="008441F4">
              <w:rPr>
                <w:rFonts w:ascii="Arial" w:hAnsi="Arial" w:cs="Arial"/>
                <w:i w:val="0"/>
                <w:iCs w:val="0"/>
                <w:noProof/>
                <w:webHidden/>
                <w:sz w:val="24"/>
                <w:szCs w:val="24"/>
              </w:rPr>
              <w:t>11</w:t>
            </w:r>
            <w:r w:rsidRPr="008441F4">
              <w:rPr>
                <w:rFonts w:ascii="Arial" w:hAnsi="Arial" w:cs="Arial"/>
                <w:i w:val="0"/>
                <w:iCs w:val="0"/>
                <w:noProof/>
                <w:webHidden/>
                <w:sz w:val="24"/>
                <w:szCs w:val="24"/>
              </w:rPr>
              <w:fldChar w:fldCharType="end"/>
            </w:r>
          </w:hyperlink>
        </w:p>
        <w:p w14:paraId="37022323" w14:textId="77777777" w:rsidR="0005105D" w:rsidRPr="008441F4" w:rsidRDefault="0005105D" w:rsidP="0005105D">
          <w:pPr>
            <w:rPr>
              <w:rFonts w:cs="Arial"/>
              <w:noProof/>
            </w:rPr>
          </w:pPr>
          <w:r w:rsidRPr="008441F4">
            <w:rPr>
              <w:rFonts w:cs="Arial"/>
            </w:rPr>
            <w:fldChar w:fldCharType="end"/>
          </w:r>
          <w:r w:rsidRPr="008441F4">
            <w:rPr>
              <w:rFonts w:cs="Arial"/>
            </w:rPr>
            <w:fldChar w:fldCharType="begin"/>
          </w:r>
          <w:r w:rsidRPr="008441F4">
            <w:rPr>
              <w:rFonts w:cs="Arial"/>
            </w:rPr>
            <w:instrText xml:space="preserve"> TOC \h \z \c "Figure" </w:instrText>
          </w:r>
          <w:r w:rsidRPr="008441F4">
            <w:rPr>
              <w:rFonts w:cs="Arial"/>
            </w:rPr>
            <w:fldChar w:fldCharType="separate"/>
          </w:r>
        </w:p>
        <w:p w14:paraId="680AD579" w14:textId="0DE9D9B8" w:rsidR="0005105D" w:rsidRPr="008441F4" w:rsidRDefault="0005105D" w:rsidP="0005105D">
          <w:pPr>
            <w:pStyle w:val="TableofFigures"/>
            <w:tabs>
              <w:tab w:val="right" w:leader="dot" w:pos="8262"/>
            </w:tabs>
            <w:rPr>
              <w:rFonts w:ascii="Arial" w:eastAsiaTheme="minorEastAsia" w:hAnsi="Arial" w:cs="Arial"/>
              <w:i w:val="0"/>
              <w:iCs w:val="0"/>
              <w:noProof/>
              <w:kern w:val="2"/>
              <w:sz w:val="24"/>
              <w:szCs w:val="24"/>
              <w14:ligatures w14:val="standardContextual"/>
            </w:rPr>
          </w:pPr>
          <w:hyperlink w:anchor="_Toc237291759" w:history="1">
            <w:r w:rsidRPr="008441F4">
              <w:rPr>
                <w:rStyle w:val="Hyperlink"/>
                <w:rFonts w:ascii="Arial" w:hAnsi="Arial" w:cs="Arial"/>
                <w:i w:val="0"/>
                <w:iCs w:val="0"/>
                <w:noProof/>
                <w:sz w:val="24"/>
                <w:szCs w:val="24"/>
              </w:rPr>
              <w:t>Figure 1 UAE Healthcare Regulation Level (Drew  from Al-Shamsi, 2025 chapters)</w:t>
            </w:r>
            <w:r w:rsidRPr="008441F4">
              <w:rPr>
                <w:rFonts w:ascii="Arial" w:hAnsi="Arial" w:cs="Arial"/>
                <w:i w:val="0"/>
                <w:iCs w:val="0"/>
                <w:noProof/>
                <w:webHidden/>
                <w:sz w:val="24"/>
                <w:szCs w:val="24"/>
              </w:rPr>
              <w:tab/>
            </w:r>
            <w:r w:rsidRPr="008441F4">
              <w:rPr>
                <w:rFonts w:ascii="Arial" w:hAnsi="Arial" w:cs="Arial"/>
                <w:i w:val="0"/>
                <w:iCs w:val="0"/>
                <w:noProof/>
                <w:webHidden/>
                <w:sz w:val="24"/>
                <w:szCs w:val="24"/>
              </w:rPr>
              <w:fldChar w:fldCharType="begin"/>
            </w:r>
            <w:r w:rsidRPr="008441F4">
              <w:rPr>
                <w:rFonts w:ascii="Arial" w:hAnsi="Arial" w:cs="Arial"/>
                <w:i w:val="0"/>
                <w:iCs w:val="0"/>
                <w:noProof/>
                <w:webHidden/>
                <w:sz w:val="24"/>
                <w:szCs w:val="24"/>
              </w:rPr>
              <w:instrText xml:space="preserve"> PAGEREF _Toc237291759 \h </w:instrText>
            </w:r>
            <w:r w:rsidRPr="008441F4">
              <w:rPr>
                <w:rFonts w:ascii="Arial" w:hAnsi="Arial" w:cs="Arial"/>
                <w:i w:val="0"/>
                <w:iCs w:val="0"/>
                <w:noProof/>
                <w:webHidden/>
                <w:sz w:val="24"/>
                <w:szCs w:val="24"/>
              </w:rPr>
            </w:r>
            <w:r w:rsidRPr="008441F4">
              <w:rPr>
                <w:rFonts w:ascii="Arial" w:hAnsi="Arial" w:cs="Arial"/>
                <w:i w:val="0"/>
                <w:iCs w:val="0"/>
                <w:noProof/>
                <w:webHidden/>
                <w:sz w:val="24"/>
                <w:szCs w:val="24"/>
              </w:rPr>
              <w:fldChar w:fldCharType="separate"/>
            </w:r>
            <w:r w:rsidRPr="008441F4">
              <w:rPr>
                <w:rFonts w:ascii="Arial" w:hAnsi="Arial" w:cs="Arial"/>
                <w:i w:val="0"/>
                <w:iCs w:val="0"/>
                <w:noProof/>
                <w:webHidden/>
                <w:sz w:val="24"/>
                <w:szCs w:val="24"/>
              </w:rPr>
              <w:t>5</w:t>
            </w:r>
            <w:r w:rsidRPr="008441F4">
              <w:rPr>
                <w:rFonts w:ascii="Arial" w:hAnsi="Arial" w:cs="Arial"/>
                <w:i w:val="0"/>
                <w:iCs w:val="0"/>
                <w:noProof/>
                <w:webHidden/>
                <w:sz w:val="24"/>
                <w:szCs w:val="24"/>
              </w:rPr>
              <w:fldChar w:fldCharType="end"/>
            </w:r>
          </w:hyperlink>
        </w:p>
        <w:p w14:paraId="268CCEE8" w14:textId="649EB13B" w:rsidR="006D7BD7" w:rsidRPr="008441F4" w:rsidRDefault="0005105D" w:rsidP="0005105D">
          <w:pPr>
            <w:rPr>
              <w:rFonts w:cs="Arial"/>
            </w:rPr>
            <w:sectPr w:rsidR="006D7BD7" w:rsidRPr="008441F4" w:rsidSect="00525444">
              <w:footerReference w:type="even" r:id="rId8"/>
              <w:pgSz w:w="11900" w:h="16840" w:code="9"/>
              <w:pgMar w:top="1418" w:right="1814" w:bottom="1418" w:left="1814" w:header="709" w:footer="919" w:gutter="0"/>
              <w:pgNumType w:start="1"/>
              <w:cols w:space="708"/>
              <w:docGrid w:linePitch="360"/>
            </w:sectPr>
          </w:pPr>
          <w:r w:rsidRPr="008441F4">
            <w:rPr>
              <w:rFonts w:cs="Arial"/>
            </w:rPr>
            <w:fldChar w:fldCharType="end"/>
          </w:r>
        </w:p>
      </w:sdtContent>
    </w:sdt>
    <w:bookmarkStart w:id="0" w:name="appendix-declaration-of-ai-use" w:displacedByCustomXml="prev"/>
    <w:p w14:paraId="3C8AEA72" w14:textId="19315A86" w:rsidR="009D352D" w:rsidRPr="008441F4" w:rsidRDefault="009D352D" w:rsidP="0067119A">
      <w:pPr>
        <w:pStyle w:val="Heading1"/>
        <w:numPr>
          <w:ilvl w:val="0"/>
          <w:numId w:val="18"/>
        </w:numPr>
        <w:rPr>
          <w:rFonts w:cs="Arial"/>
        </w:rPr>
      </w:pPr>
      <w:bookmarkStart w:id="1" w:name="_Toc237314131"/>
      <w:bookmarkEnd w:id="0"/>
      <w:r w:rsidRPr="008441F4">
        <w:rPr>
          <w:rFonts w:cs="Arial"/>
        </w:rPr>
        <w:lastRenderedPageBreak/>
        <w:t>Introduction</w:t>
      </w:r>
      <w:bookmarkEnd w:id="1"/>
      <w:r w:rsidRPr="008441F4">
        <w:rPr>
          <w:rFonts w:cs="Arial"/>
        </w:rPr>
        <w:t xml:space="preserve"> </w:t>
      </w:r>
    </w:p>
    <w:p w14:paraId="67B077AA" w14:textId="77777777" w:rsidR="004C3EA0" w:rsidRPr="008441F4" w:rsidRDefault="004C3EA0" w:rsidP="002B2B31">
      <w:pPr>
        <w:pStyle w:val="FirstParagraph"/>
        <w:spacing w:line="276" w:lineRule="auto"/>
        <w:rPr>
          <w:rFonts w:ascii="Arial" w:hAnsi="Arial" w:cs="Arial"/>
        </w:rPr>
      </w:pPr>
      <w:r w:rsidRPr="008441F4">
        <w:rPr>
          <w:rFonts w:ascii="Arial" w:hAnsi="Arial" w:cs="Arial"/>
        </w:rPr>
        <w:t>Neko Health is a Swedish preventive healthcare company founded in Stockholm in 2018 by Hjalmar Nilsonne and Daniel Ek. Rather than operating as another private clinic chain, it is vertically integrated: it designs and assembles its own scanning hardware, runs its own data science layer, and delivers a sixty-minute body scan followed by a same-visit clinical consultation (Neko Health, 2026a). A $700 million Series C round in July 2026 valued the company at $7 billion; it operates in Stockholm, London, Manchester and New York, with a waiting list reported above 350,000 (Neko Health, 2026b; Financial Times, 2026). It is therefore a rapidly scaling but geographically shallow firm whose proprietary model remains untested outside northern Europe.</w:t>
      </w:r>
    </w:p>
    <w:p w14:paraId="77EB9543" w14:textId="77777777" w:rsidR="004C3EA0" w:rsidRPr="008441F4" w:rsidRDefault="004C3EA0" w:rsidP="002B2B31">
      <w:pPr>
        <w:pStyle w:val="BodyText"/>
        <w:spacing w:line="276" w:lineRule="auto"/>
        <w:rPr>
          <w:rFonts w:ascii="Arial" w:hAnsi="Arial" w:cs="Arial"/>
        </w:rPr>
      </w:pPr>
      <w:r w:rsidRPr="008441F4">
        <w:rPr>
          <w:rFonts w:ascii="Arial" w:hAnsi="Arial" w:cs="Arial"/>
        </w:rPr>
        <w:t>This report sets out an international strategic plan for entry into the United Arab Emirates (UAE), where Neko has no presence. The UAE is a deliberate choice: small in population, but combining a wealthy expatriate consumer base, a state actively subsidising the shift from treatment towards prevention, and a chronic disease burden that maps closely onto what Neko’s scan detects. The strategic question is not whether demand exists, but whether a hardware-dependent Swedish firm can transfer a tightly integrated service into an unfamiliar institutional setting.</w:t>
      </w:r>
    </w:p>
    <w:p w14:paraId="23CA29BF" w14:textId="77777777" w:rsidR="004C3EA0" w:rsidRPr="008441F4" w:rsidRDefault="004C3EA0" w:rsidP="002B2B31">
      <w:pPr>
        <w:pStyle w:val="BodyText"/>
        <w:spacing w:line="276" w:lineRule="auto"/>
        <w:rPr>
          <w:rFonts w:ascii="Arial" w:hAnsi="Arial" w:cs="Arial"/>
        </w:rPr>
      </w:pPr>
      <w:r w:rsidRPr="008441F4">
        <w:rPr>
          <w:rFonts w:ascii="Arial" w:hAnsi="Arial" w:cs="Arial"/>
        </w:rPr>
        <w:t>The analysis is framed by the institution-based view, which holds that foreign performance is shaped as much by host-country rules as by industry structure or firm resources (Peng et al., 2008).</w:t>
      </w:r>
    </w:p>
    <w:p w14:paraId="0ED44E82" w14:textId="17BFAE1D" w:rsidR="004C3EA0" w:rsidRPr="008441F4" w:rsidRDefault="004C3EA0" w:rsidP="002B2B31">
      <w:pPr>
        <w:spacing w:line="276" w:lineRule="auto"/>
        <w:rPr>
          <w:rFonts w:cs="Arial"/>
        </w:rPr>
      </w:pPr>
    </w:p>
    <w:p w14:paraId="01D49258" w14:textId="03BBAB3E" w:rsidR="004C3EA0" w:rsidRPr="008441F4" w:rsidRDefault="0003290D" w:rsidP="002B2B31">
      <w:pPr>
        <w:pStyle w:val="Heading2"/>
        <w:spacing w:line="276" w:lineRule="auto"/>
        <w:rPr>
          <w:rFonts w:cs="Arial"/>
          <w:szCs w:val="24"/>
        </w:rPr>
      </w:pPr>
      <w:bookmarkStart w:id="2" w:name="mission-vision-values-and-objectives"/>
      <w:bookmarkStart w:id="3" w:name="_Toc237314132"/>
      <w:r w:rsidRPr="008441F4">
        <w:rPr>
          <w:rFonts w:cs="Arial"/>
          <w:szCs w:val="24"/>
        </w:rPr>
        <w:t>1.1</w:t>
      </w:r>
      <w:r w:rsidR="004C3EA0" w:rsidRPr="008441F4">
        <w:rPr>
          <w:rFonts w:cs="Arial"/>
          <w:szCs w:val="24"/>
        </w:rPr>
        <w:t xml:space="preserve"> Mission, Vision, Values and Objectives</w:t>
      </w:r>
      <w:bookmarkEnd w:id="2"/>
      <w:bookmarkEnd w:id="3"/>
    </w:p>
    <w:p w14:paraId="52FEE786" w14:textId="2EA02469" w:rsidR="004C3EA0" w:rsidRPr="008441F4" w:rsidRDefault="0003290D" w:rsidP="00EB2EC8">
      <w:pPr>
        <w:rPr>
          <w:rFonts w:cs="Arial"/>
        </w:rPr>
      </w:pPr>
      <w:bookmarkStart w:id="4" w:name="mission"/>
      <w:r w:rsidRPr="008441F4">
        <w:rPr>
          <w:rFonts w:cs="Arial"/>
        </w:rPr>
        <w:t>1.1.1</w:t>
      </w:r>
      <w:r w:rsidR="004C3EA0" w:rsidRPr="008441F4">
        <w:rPr>
          <w:rFonts w:cs="Arial"/>
        </w:rPr>
        <w:t xml:space="preserve"> Mission</w:t>
      </w:r>
      <w:bookmarkEnd w:id="4"/>
    </w:p>
    <w:p w14:paraId="1804EA4F" w14:textId="77777777" w:rsidR="004C3EA0" w:rsidRPr="008441F4" w:rsidRDefault="004C3EA0" w:rsidP="002B2B31">
      <w:pPr>
        <w:pStyle w:val="FirstParagraph"/>
        <w:spacing w:line="276" w:lineRule="auto"/>
        <w:rPr>
          <w:rFonts w:ascii="Arial" w:hAnsi="Arial" w:cs="Arial"/>
        </w:rPr>
      </w:pPr>
      <w:r w:rsidRPr="008441F4">
        <w:rPr>
          <w:rFonts w:ascii="Arial" w:hAnsi="Arial" w:cs="Arial"/>
        </w:rPr>
        <w:t xml:space="preserve">Neko’s stated purpose is to place “health – not illness – at the heart of the 21st century healthcare system” (Neko Health, 2026a). This is a mission about system change rather than about the firm, which matters analytically. A mission should define the business, the customer and the value created (Collis &amp; </w:t>
      </w:r>
      <w:proofErr w:type="spellStart"/>
      <w:r w:rsidRPr="008441F4">
        <w:rPr>
          <w:rFonts w:ascii="Arial" w:hAnsi="Arial" w:cs="Arial"/>
        </w:rPr>
        <w:t>Rukstad</w:t>
      </w:r>
      <w:proofErr w:type="spellEnd"/>
      <w:r w:rsidRPr="008441F4">
        <w:rPr>
          <w:rFonts w:ascii="Arial" w:hAnsi="Arial" w:cs="Arial"/>
        </w:rPr>
        <w:t>, 2008); Neko’s formulation captures the third clearly and the first two only loosely.</w:t>
      </w:r>
    </w:p>
    <w:p w14:paraId="0F9D8F07" w14:textId="479E0BEE" w:rsidR="004C3EA0" w:rsidRPr="008441F4" w:rsidRDefault="004C3EA0" w:rsidP="002B2B31">
      <w:pPr>
        <w:pStyle w:val="BodyText"/>
        <w:spacing w:line="276" w:lineRule="auto"/>
        <w:rPr>
          <w:rFonts w:ascii="Arial" w:hAnsi="Arial" w:cs="Arial"/>
        </w:rPr>
      </w:pPr>
      <w:r w:rsidRPr="008441F4">
        <w:rPr>
          <w:rFonts w:ascii="Arial" w:hAnsi="Arial" w:cs="Arial"/>
        </w:rPr>
        <w:t>That looseness aids internationalisation, since no market disputes the premise that symptoms arrive too late. Gartenberg et al. (2019) find purpose improves performance chiefly where embedded in middle management rather than merely declared, and Neko’s staffing pattern — over half of its 1,000-plus employees in clinical roles, clinicians seeing around nine members daily rather than thirty — suggests genuine embedding (Neko Health, 2026a). In a market crowded with aesthetic and longevity-driven clinics, a clinically grounded mission is a differentiator rather than branding.</w:t>
      </w:r>
    </w:p>
    <w:p w14:paraId="2A84A71B" w14:textId="77777777" w:rsidR="004C3EA0" w:rsidRPr="008441F4" w:rsidRDefault="004C3EA0" w:rsidP="002B2B31">
      <w:pPr>
        <w:pStyle w:val="BodyText"/>
        <w:spacing w:line="276" w:lineRule="auto"/>
        <w:rPr>
          <w:rFonts w:ascii="Arial" w:hAnsi="Arial" w:cs="Arial"/>
        </w:rPr>
      </w:pPr>
      <w:r w:rsidRPr="008441F4">
        <w:rPr>
          <w:rFonts w:ascii="Arial" w:hAnsi="Arial" w:cs="Arial"/>
        </w:rPr>
        <w:lastRenderedPageBreak/>
        <w:t>The weakness is that a public-good mission sits awkwardly against a £299 price point. Where roughly 88.5 per cent of residents are expatriates, many on modest incomes (Global Media Insight, 2026), prevention sold only to the affluent invites the charge of exclusivity. This is a legitimacy risk of the kind Kostova and Zaheer (1999) describe, where a firm must satisfy several institutional audiences at once and a mission reading as egalitarian in Stockholm reads differently in Dubai.</w:t>
      </w:r>
    </w:p>
    <w:p w14:paraId="766D9518" w14:textId="77777777" w:rsidR="0067119A" w:rsidRPr="008441F4" w:rsidRDefault="0067119A" w:rsidP="002B2B31">
      <w:pPr>
        <w:pStyle w:val="BodyText"/>
        <w:spacing w:line="276" w:lineRule="auto"/>
        <w:rPr>
          <w:rFonts w:ascii="Arial" w:hAnsi="Arial" w:cs="Arial"/>
        </w:rPr>
      </w:pPr>
    </w:p>
    <w:p w14:paraId="3E0B8D0D" w14:textId="413157A4" w:rsidR="004C3EA0" w:rsidRPr="008441F4" w:rsidRDefault="0003290D" w:rsidP="00EB2EC8">
      <w:pPr>
        <w:rPr>
          <w:rFonts w:cs="Arial"/>
        </w:rPr>
      </w:pPr>
      <w:bookmarkStart w:id="5" w:name="vision"/>
      <w:r w:rsidRPr="008441F4">
        <w:rPr>
          <w:rFonts w:cs="Arial"/>
        </w:rPr>
        <w:t>1.1</w:t>
      </w:r>
      <w:r w:rsidR="004C3EA0" w:rsidRPr="008441F4">
        <w:rPr>
          <w:rFonts w:cs="Arial"/>
        </w:rPr>
        <w:t>.2 Vision</w:t>
      </w:r>
      <w:bookmarkEnd w:id="5"/>
    </w:p>
    <w:p w14:paraId="5C2F082F" w14:textId="77777777" w:rsidR="004C3EA0" w:rsidRPr="008441F4" w:rsidRDefault="004C3EA0" w:rsidP="002B2B31">
      <w:pPr>
        <w:pStyle w:val="FirstParagraph"/>
        <w:spacing w:line="276" w:lineRule="auto"/>
        <w:rPr>
          <w:rFonts w:ascii="Arial" w:hAnsi="Arial" w:cs="Arial"/>
        </w:rPr>
      </w:pPr>
      <w:r w:rsidRPr="008441F4">
        <w:rPr>
          <w:rFonts w:ascii="Arial" w:hAnsi="Arial" w:cs="Arial"/>
        </w:rPr>
        <w:t>Neko’s vision is that “every person who understands their health early is one less late-stage diagnosis within a system that is already at capacity” (Neko Health, 2026a). Success is therefore defined as becoming infrastructure rather than a boutique, a position requiring either high clinic density or payer partnership, neither of which Neko has outside Sweden and the UK. Teece (2018) argues business models generate durable advantage only where the firm can reconfigure them as context changes; Neko’s transforming capability, adapting to a payer-driven system, is untested. The UAE, financed largely through mandatory employer insurance rather than taxation (LexisNexis, 2025), would be that test.</w:t>
      </w:r>
    </w:p>
    <w:p w14:paraId="729C1DE1" w14:textId="77777777" w:rsidR="0067119A" w:rsidRPr="008441F4" w:rsidRDefault="0067119A" w:rsidP="0067119A">
      <w:pPr>
        <w:pStyle w:val="BodyText"/>
        <w:rPr>
          <w:rFonts w:ascii="Arial" w:hAnsi="Arial" w:cs="Arial"/>
        </w:rPr>
      </w:pPr>
    </w:p>
    <w:p w14:paraId="1359D276" w14:textId="60E9CAEF" w:rsidR="004C3EA0" w:rsidRPr="008441F4" w:rsidRDefault="0003290D" w:rsidP="00EB2EC8">
      <w:pPr>
        <w:rPr>
          <w:rFonts w:cs="Arial"/>
        </w:rPr>
      </w:pPr>
      <w:bookmarkStart w:id="6" w:name="values"/>
      <w:r w:rsidRPr="008441F4">
        <w:rPr>
          <w:rFonts w:cs="Arial"/>
        </w:rPr>
        <w:t>1.1</w:t>
      </w:r>
      <w:r w:rsidR="004C3EA0" w:rsidRPr="008441F4">
        <w:rPr>
          <w:rFonts w:cs="Arial"/>
        </w:rPr>
        <w:t>.3 Values</w:t>
      </w:r>
      <w:bookmarkEnd w:id="6"/>
    </w:p>
    <w:p w14:paraId="77EBB51B" w14:textId="77777777" w:rsidR="004C3EA0" w:rsidRPr="008441F4" w:rsidRDefault="004C3EA0" w:rsidP="002B2B31">
      <w:pPr>
        <w:pStyle w:val="FirstParagraph"/>
        <w:spacing w:line="276" w:lineRule="auto"/>
        <w:rPr>
          <w:rFonts w:ascii="Arial" w:hAnsi="Arial" w:cs="Arial"/>
        </w:rPr>
      </w:pPr>
      <w:r w:rsidRPr="008441F4">
        <w:rPr>
          <w:rFonts w:ascii="Arial" w:hAnsi="Arial" w:cs="Arial"/>
        </w:rPr>
        <w:t>Three values are observable in Neko’s own account: vertical integration (“we built everything from scratch”), clinical time as a resource (“medicine done well requires time”), and evidence (“validated with clinical studies”) (Neko Health, 2026a).</w:t>
      </w:r>
    </w:p>
    <w:p w14:paraId="288FCE83" w14:textId="77777777" w:rsidR="004C3EA0" w:rsidRPr="008441F4" w:rsidRDefault="004C3EA0" w:rsidP="002B2B31">
      <w:pPr>
        <w:pStyle w:val="BodyText"/>
        <w:spacing w:line="276" w:lineRule="auto"/>
        <w:rPr>
          <w:rFonts w:ascii="Arial" w:hAnsi="Arial" w:cs="Arial"/>
        </w:rPr>
      </w:pPr>
      <w:r w:rsidRPr="008441F4">
        <w:rPr>
          <w:rFonts w:ascii="Arial" w:hAnsi="Arial" w:cs="Arial"/>
        </w:rPr>
        <w:t>Each carries an international implication. Vertical integration supplies what Barney (1991) classifies as a valuable, rare and costly-to-imitate resource — proprietary devices no competitor can simply buy — while constraining entry mode, since the asset creating advantage is also the asset most exposed in a partner’s hands (Anderson &amp; Gatignon, 1986). Protecting clinical time is expensive abroad, requiring physicians willing to accept low throughput. Evidence is the most portable value, and Neko’s strongest legitimacy asset where the boundary between medicine and wellness marketing is blurred.</w:t>
      </w:r>
    </w:p>
    <w:p w14:paraId="4C2C8544" w14:textId="77777777" w:rsidR="0067119A" w:rsidRPr="008441F4" w:rsidRDefault="0067119A" w:rsidP="002B2B31">
      <w:pPr>
        <w:pStyle w:val="BodyText"/>
        <w:spacing w:line="276" w:lineRule="auto"/>
        <w:rPr>
          <w:rFonts w:ascii="Arial" w:hAnsi="Arial" w:cs="Arial"/>
        </w:rPr>
      </w:pPr>
    </w:p>
    <w:p w14:paraId="2FF23B40" w14:textId="20AC94B6" w:rsidR="004C3EA0" w:rsidRPr="008441F4" w:rsidRDefault="0003290D" w:rsidP="00EB2EC8">
      <w:pPr>
        <w:rPr>
          <w:rFonts w:cs="Arial"/>
        </w:rPr>
      </w:pPr>
      <w:bookmarkStart w:id="7" w:name="objectives"/>
      <w:r w:rsidRPr="008441F4">
        <w:rPr>
          <w:rFonts w:cs="Arial"/>
        </w:rPr>
        <w:t>1.1</w:t>
      </w:r>
      <w:r w:rsidR="004C3EA0" w:rsidRPr="008441F4">
        <w:rPr>
          <w:rFonts w:cs="Arial"/>
        </w:rPr>
        <w:t>.4 Objectives</w:t>
      </w:r>
      <w:bookmarkEnd w:id="7"/>
    </w:p>
    <w:p w14:paraId="74AF5564" w14:textId="056BD8AA" w:rsidR="00996CAF" w:rsidRDefault="004C3EA0" w:rsidP="00996CAF">
      <w:pPr>
        <w:pStyle w:val="FirstParagraph"/>
        <w:spacing w:line="276" w:lineRule="auto"/>
        <w:rPr>
          <w:rFonts w:ascii="Arial" w:hAnsi="Arial" w:cs="Arial"/>
          <w:color w:val="000000" w:themeColor="text1"/>
        </w:rPr>
      </w:pPr>
      <w:r w:rsidRPr="008441F4">
        <w:rPr>
          <w:rFonts w:ascii="Arial" w:hAnsi="Arial" w:cs="Arial"/>
          <w:color w:val="000000" w:themeColor="text1"/>
        </w:rPr>
        <w:t xml:space="preserve">Neko publishes no formal SMART </w:t>
      </w:r>
      <w:r w:rsidR="0067119A" w:rsidRPr="008441F4">
        <w:rPr>
          <w:rFonts w:ascii="Arial" w:hAnsi="Arial" w:cs="Arial"/>
          <w:color w:val="000000" w:themeColor="text1"/>
        </w:rPr>
        <w:t>objectives and</w:t>
      </w:r>
      <w:r w:rsidRPr="008441F4">
        <w:rPr>
          <w:rFonts w:ascii="Arial" w:hAnsi="Arial" w:cs="Arial"/>
          <w:color w:val="000000" w:themeColor="text1"/>
        </w:rPr>
        <w:t xml:space="preserve"> inventing them would be improper. Its revealed objectives, inferred from disclosed action, are </w:t>
      </w:r>
    </w:p>
    <w:p w14:paraId="57127213" w14:textId="77777777" w:rsidR="00996CAF" w:rsidRPr="00DD3A17" w:rsidRDefault="00996CAF" w:rsidP="00996CAF">
      <w:pPr>
        <w:pStyle w:val="ListParagraph"/>
        <w:numPr>
          <w:ilvl w:val="0"/>
          <w:numId w:val="22"/>
        </w:numPr>
        <w:spacing w:before="0" w:after="0" w:line="276" w:lineRule="auto"/>
        <w:rPr>
          <w:rFonts w:cs="Arial"/>
        </w:rPr>
      </w:pPr>
      <w:r w:rsidRPr="00DD3A17">
        <w:rPr>
          <w:rFonts w:cs="Arial"/>
        </w:rPr>
        <w:t xml:space="preserve">Shift from Reactive to Proactive Care:  </w:t>
      </w:r>
    </w:p>
    <w:p w14:paraId="79AF33BE" w14:textId="24ED77D1" w:rsidR="00996CAF" w:rsidRPr="00DD3A17" w:rsidRDefault="0025316E" w:rsidP="00996CAF">
      <w:pPr>
        <w:pStyle w:val="ListParagraph"/>
        <w:spacing w:line="276" w:lineRule="auto"/>
        <w:ind w:left="142"/>
        <w:rPr>
          <w:rFonts w:cs="Arial"/>
        </w:rPr>
      </w:pPr>
      <w:r>
        <w:rPr>
          <w:rFonts w:cs="Arial"/>
        </w:rPr>
        <w:lastRenderedPageBreak/>
        <w:t>It</w:t>
      </w:r>
      <w:r w:rsidR="00996CAF" w:rsidRPr="00DD3A17">
        <w:rPr>
          <w:rFonts w:cs="Arial"/>
        </w:rPr>
        <w:t xml:space="preserve"> enables to extend its healthcare model to new international markets and diversify growth opportunities. However, achieving this objective internationally may involve risks associated with regulatory complexity and cultural differences, which could influence market acceptance and operational implementation </w:t>
      </w:r>
    </w:p>
    <w:p w14:paraId="5160EEFE" w14:textId="77777777" w:rsidR="00996CAF" w:rsidRPr="00DD3A17" w:rsidRDefault="00996CAF" w:rsidP="00996CAF">
      <w:pPr>
        <w:pStyle w:val="ListParagraph"/>
        <w:spacing w:line="276" w:lineRule="auto"/>
        <w:ind w:left="142"/>
        <w:rPr>
          <w:rFonts w:cs="Arial"/>
        </w:rPr>
      </w:pPr>
    </w:p>
    <w:p w14:paraId="0EBD6091" w14:textId="77777777" w:rsidR="00996CAF" w:rsidRPr="00DD3A17" w:rsidRDefault="00996CAF" w:rsidP="00996CAF">
      <w:pPr>
        <w:pStyle w:val="ListParagraph"/>
        <w:numPr>
          <w:ilvl w:val="0"/>
          <w:numId w:val="22"/>
        </w:numPr>
        <w:spacing w:before="0" w:after="200" w:line="276" w:lineRule="auto"/>
        <w:rPr>
          <w:rFonts w:cs="Arial"/>
        </w:rPr>
      </w:pPr>
      <w:r w:rsidRPr="00DD3A17">
        <w:rPr>
          <w:rFonts w:cs="Arial"/>
        </w:rPr>
        <w:t xml:space="preserve">Vertical Integration and Tech Innovation: </w:t>
      </w:r>
    </w:p>
    <w:p w14:paraId="122E496F" w14:textId="629D6BC8" w:rsidR="00996CAF" w:rsidRPr="00DD3A17" w:rsidRDefault="00DA271F" w:rsidP="00996CAF">
      <w:pPr>
        <w:pStyle w:val="ListParagraph"/>
        <w:spacing w:after="200" w:line="276" w:lineRule="auto"/>
        <w:ind w:left="142"/>
        <w:rPr>
          <w:rFonts w:cs="Arial"/>
        </w:rPr>
      </w:pPr>
      <w:r>
        <w:rPr>
          <w:rFonts w:cs="Arial"/>
        </w:rPr>
        <w:t>L</w:t>
      </w:r>
      <w:r w:rsidR="00996CAF" w:rsidRPr="00DD3A17">
        <w:rPr>
          <w:rFonts w:cs="Arial"/>
        </w:rPr>
        <w:t>everaging proprietary resources and capabilities to build a differentiated competitive position in new markets</w:t>
      </w:r>
      <w:r>
        <w:rPr>
          <w:rFonts w:cs="Arial"/>
        </w:rPr>
        <w:t xml:space="preserve"> with complex </w:t>
      </w:r>
      <w:r w:rsidR="00996CAF" w:rsidRPr="00DD3A17">
        <w:rPr>
          <w:rFonts w:cs="Arial"/>
        </w:rPr>
        <w:t>data governance requirements</w:t>
      </w:r>
      <w:r>
        <w:rPr>
          <w:rFonts w:cs="Arial"/>
        </w:rPr>
        <w:t>.</w:t>
      </w:r>
    </w:p>
    <w:p w14:paraId="14C3E7FE" w14:textId="77777777" w:rsidR="00996CAF" w:rsidRPr="00DD3A17" w:rsidRDefault="00996CAF" w:rsidP="00996CAF">
      <w:pPr>
        <w:pStyle w:val="ListParagraph"/>
        <w:spacing w:after="200" w:line="276" w:lineRule="auto"/>
        <w:ind w:left="142"/>
        <w:rPr>
          <w:rFonts w:cs="Arial"/>
        </w:rPr>
      </w:pPr>
    </w:p>
    <w:p w14:paraId="3AA7A562" w14:textId="77777777" w:rsidR="00996CAF" w:rsidRPr="00DD3A17" w:rsidRDefault="00996CAF" w:rsidP="00996CAF">
      <w:pPr>
        <w:pStyle w:val="ListParagraph"/>
        <w:numPr>
          <w:ilvl w:val="0"/>
          <w:numId w:val="22"/>
        </w:numPr>
        <w:spacing w:before="0" w:after="0" w:line="276" w:lineRule="auto"/>
        <w:rPr>
          <w:rFonts w:cs="Arial"/>
        </w:rPr>
      </w:pPr>
      <w:r w:rsidRPr="00DD3A17">
        <w:rPr>
          <w:rFonts w:cs="Arial"/>
        </w:rPr>
        <w:t xml:space="preserve">Commercial Scaling and Global Expansion: </w:t>
      </w:r>
    </w:p>
    <w:p w14:paraId="4C807D96" w14:textId="64BBE521" w:rsidR="00996CAF" w:rsidRPr="00DD3A17" w:rsidRDefault="00996CAF" w:rsidP="00996CAF">
      <w:pPr>
        <w:pStyle w:val="ListParagraph"/>
        <w:spacing w:line="276" w:lineRule="auto"/>
        <w:ind w:left="142"/>
        <w:rPr>
          <w:rFonts w:cs="Arial"/>
        </w:rPr>
      </w:pPr>
      <w:r w:rsidRPr="00DD3A17">
        <w:rPr>
          <w:rFonts w:cs="Arial"/>
        </w:rPr>
        <w:t>Expansion into the UAE provides opportunities to access new customers and achieve growth beyond the domestic market</w:t>
      </w:r>
      <w:r w:rsidR="00DA271F">
        <w:rPr>
          <w:rFonts w:cs="Arial"/>
        </w:rPr>
        <w:t>, alongside</w:t>
      </w:r>
      <w:r w:rsidRPr="00DD3A17">
        <w:rPr>
          <w:rFonts w:cs="Arial"/>
        </w:rPr>
        <w:t xml:space="preserve"> geopolitical uncertainty</w:t>
      </w:r>
      <w:r w:rsidR="00DA271F">
        <w:rPr>
          <w:rFonts w:cs="Arial"/>
        </w:rPr>
        <w:t xml:space="preserve"> and</w:t>
      </w:r>
      <w:r w:rsidRPr="00DD3A17">
        <w:rPr>
          <w:rFonts w:cs="Arial"/>
        </w:rPr>
        <w:t xml:space="preserve"> supply-chain disruptions</w:t>
      </w:r>
      <w:r w:rsidR="00DA271F">
        <w:rPr>
          <w:rFonts w:cs="Arial"/>
        </w:rPr>
        <w:t>.</w:t>
      </w:r>
    </w:p>
    <w:p w14:paraId="1CF44F47" w14:textId="49EED1A5" w:rsidR="00701183" w:rsidRPr="008441F4" w:rsidRDefault="004C3EA0" w:rsidP="0067119A">
      <w:pPr>
        <w:pStyle w:val="Heading1"/>
        <w:numPr>
          <w:ilvl w:val="0"/>
          <w:numId w:val="18"/>
        </w:numPr>
        <w:rPr>
          <w:rFonts w:cs="Arial"/>
        </w:rPr>
      </w:pPr>
      <w:bookmarkStart w:id="8" w:name="_Toc237314133"/>
      <w:r w:rsidRPr="008441F4">
        <w:rPr>
          <w:rFonts w:cs="Arial"/>
        </w:rPr>
        <w:t>Opportunities and Risks in the UAE Market: A PESTLE Analysis</w:t>
      </w:r>
      <w:bookmarkEnd w:id="8"/>
    </w:p>
    <w:p w14:paraId="76139A0D" w14:textId="30964216" w:rsidR="00701183" w:rsidRPr="008441F4" w:rsidRDefault="00701183" w:rsidP="002A1050">
      <w:pPr>
        <w:spacing w:line="276" w:lineRule="auto"/>
        <w:rPr>
          <w:rFonts w:cs="Arial"/>
        </w:rPr>
      </w:pPr>
      <w:r w:rsidRPr="008441F4">
        <w:rPr>
          <w:rFonts w:cs="Arial"/>
        </w:rPr>
        <w:t>A PESTLE analysis was undertaken to identify the opportunities and risks within the UAE external environment and assess how the most strategically significant factors may influence Neko Health's international expansion from Sweden.</w:t>
      </w:r>
    </w:p>
    <w:p w14:paraId="59CB0F4C" w14:textId="77777777" w:rsidR="0067119A" w:rsidRPr="008441F4" w:rsidRDefault="0067119A" w:rsidP="002A1050">
      <w:pPr>
        <w:spacing w:line="276" w:lineRule="auto"/>
        <w:rPr>
          <w:rFonts w:cs="Arial"/>
        </w:rPr>
      </w:pPr>
    </w:p>
    <w:p w14:paraId="3C60C11B" w14:textId="268DB1A4" w:rsidR="00701183" w:rsidRPr="008441F4" w:rsidRDefault="00701183" w:rsidP="002A1050">
      <w:pPr>
        <w:pStyle w:val="Heading2"/>
        <w:rPr>
          <w:rFonts w:cs="Arial"/>
        </w:rPr>
      </w:pPr>
      <w:bookmarkStart w:id="9" w:name="_Toc237314134"/>
      <w:r w:rsidRPr="008441F4">
        <w:rPr>
          <w:rFonts w:cs="Arial"/>
        </w:rPr>
        <w:t>Key Opportunity 1: Strong Demand for Preventive Healthcare</w:t>
      </w:r>
      <w:bookmarkEnd w:id="9"/>
    </w:p>
    <w:p w14:paraId="4687D9D0" w14:textId="4541B48D" w:rsidR="00701183" w:rsidRPr="008441F4" w:rsidRDefault="00701183" w:rsidP="002A1050">
      <w:pPr>
        <w:spacing w:line="276" w:lineRule="auto"/>
        <w:rPr>
          <w:rFonts w:cs="Arial"/>
        </w:rPr>
      </w:pPr>
      <w:r w:rsidRPr="008441F4">
        <w:rPr>
          <w:rFonts w:cs="Arial"/>
        </w:rPr>
        <w:t xml:space="preserve">The UAE offers favourable demand conditions for Neko Health, as political priorities, health challenges, and economic conditions support preventive healthcare. The Department of Health Abu Dhabi has repositioned healthcare policy around prevention, AI, and genomics and has partnered with the wearable technology firm </w:t>
      </w:r>
      <w:proofErr w:type="spellStart"/>
      <w:r w:rsidRPr="008441F4">
        <w:rPr>
          <w:rFonts w:cs="Arial"/>
        </w:rPr>
        <w:t>Ōura</w:t>
      </w:r>
      <w:proofErr w:type="spellEnd"/>
      <w:r w:rsidRPr="008441F4">
        <w:rPr>
          <w:rFonts w:cs="Arial"/>
        </w:rPr>
        <w:t>, aligning government priorities with Neko's value proposition (</w:t>
      </w:r>
      <w:proofErr w:type="spellStart"/>
      <w:r w:rsidRPr="008441F4">
        <w:rPr>
          <w:rFonts w:cs="Arial"/>
        </w:rPr>
        <w:t>DoH</w:t>
      </w:r>
      <w:proofErr w:type="spellEnd"/>
      <w:r w:rsidRPr="008441F4">
        <w:rPr>
          <w:rFonts w:cs="Arial"/>
        </w:rPr>
        <w:t xml:space="preserve">, 2026a; </w:t>
      </w:r>
      <w:proofErr w:type="spellStart"/>
      <w:r w:rsidRPr="008441F4">
        <w:rPr>
          <w:rFonts w:cs="Arial"/>
        </w:rPr>
        <w:t>DoH</w:t>
      </w:r>
      <w:proofErr w:type="spellEnd"/>
      <w:r w:rsidRPr="008441F4">
        <w:rPr>
          <w:rFonts w:cs="Arial"/>
        </w:rPr>
        <w:t>, 2026b). Consequently, Neko does not need to convince policymakers of the value of prevention but rather to demonstrate that its technology is an effective means of delivering it.</w:t>
      </w:r>
    </w:p>
    <w:p w14:paraId="187C7326" w14:textId="76A68E65" w:rsidR="00701183" w:rsidRPr="008441F4" w:rsidRDefault="00701183" w:rsidP="002A1050">
      <w:pPr>
        <w:spacing w:line="276" w:lineRule="auto"/>
        <w:rPr>
          <w:rFonts w:cs="Arial"/>
        </w:rPr>
      </w:pPr>
      <w:r w:rsidRPr="008441F4">
        <w:rPr>
          <w:rFonts w:cs="Arial"/>
        </w:rPr>
        <w:t xml:space="preserve">Demand is reinforced by the country's health profile. Diabetes prevalence is estimated at 17–21 per cent, adult obesity exceeds 27 per cent, and cardiovascular disease accounts for approximately 40 per cent of deaths (Frontiers in Public Health, 2025) — precisely the risks Neko's scanning technology is designed to identify and monitor. Economic conditions are also supportive: UAE GDP reached approximately AED 2,256,378 million in 2025, non-hydrocarbon activity is forecast to grow by 5.0 per cent, and inflation remains near 1.3 per cent (Federal Competitiveness and Statistics Centre, 2026; Central Bank of the UAE, 2026). Longevity packages available locally </w:t>
      </w:r>
      <w:r w:rsidRPr="008441F4">
        <w:rPr>
          <w:rFonts w:cs="Arial"/>
        </w:rPr>
        <w:lastRenderedPageBreak/>
        <w:t>range from approximately AED 3,000 to AED 100,000 (World Longevity Clinics, 2026), indicating Neko's premium pricing remains within market expectations.</w:t>
      </w:r>
    </w:p>
    <w:p w14:paraId="15FF59B3" w14:textId="239F7CDD" w:rsidR="00701183" w:rsidRPr="008441F4" w:rsidRDefault="00701183" w:rsidP="002A1050">
      <w:pPr>
        <w:spacing w:line="276" w:lineRule="auto"/>
        <w:rPr>
          <w:rFonts w:cs="Arial"/>
        </w:rPr>
      </w:pPr>
      <w:r w:rsidRPr="008441F4">
        <w:rPr>
          <w:rFonts w:cs="Arial"/>
        </w:rPr>
        <w:t>From an international strategy perspective, these conditions support entry via premium healthcare positioning. More importantly, the estimated economic burden of overweight and obesity, at approximately 2.8 per cent of GDP (Okunogbe et al., 2022), provides an opportunity for Neko to position its service as a cost-avoidance tool for employers and insurers, rather than solely as a consumer wellness product. This creates additional routes to market beyond direct consumer acquisition.</w:t>
      </w:r>
    </w:p>
    <w:p w14:paraId="2A9279E3" w14:textId="77777777" w:rsidR="0067119A" w:rsidRPr="008441F4" w:rsidRDefault="0067119A" w:rsidP="002A1050">
      <w:pPr>
        <w:spacing w:line="276" w:lineRule="auto"/>
        <w:rPr>
          <w:rFonts w:cs="Arial"/>
        </w:rPr>
      </w:pPr>
    </w:p>
    <w:p w14:paraId="07583820" w14:textId="4064D5B3" w:rsidR="00701183" w:rsidRPr="008441F4" w:rsidRDefault="00701183" w:rsidP="002A1050">
      <w:pPr>
        <w:pStyle w:val="Heading2"/>
        <w:rPr>
          <w:rFonts w:cs="Arial"/>
        </w:rPr>
      </w:pPr>
      <w:bookmarkStart w:id="10" w:name="_Toc237314135"/>
      <w:r w:rsidRPr="008441F4">
        <w:rPr>
          <w:rFonts w:cs="Arial"/>
        </w:rPr>
        <w:t>Key Opportunity 2: High Technological Readiness</w:t>
      </w:r>
      <w:bookmarkEnd w:id="10"/>
    </w:p>
    <w:p w14:paraId="37AB1771" w14:textId="5E5EFCB5" w:rsidR="00701183" w:rsidRPr="008441F4" w:rsidRDefault="00701183" w:rsidP="002A1050">
      <w:pPr>
        <w:spacing w:line="276" w:lineRule="auto"/>
        <w:rPr>
          <w:rFonts w:cs="Arial"/>
        </w:rPr>
      </w:pPr>
      <w:r w:rsidRPr="008441F4">
        <w:rPr>
          <w:rFonts w:cs="Arial"/>
        </w:rPr>
        <w:t>Technological conditions further enhance the attractiveness of the UAE market. Digital health infrastructure is highly developed: the three national health information exchanges, Riayati, Malaffi and NABIDH, integrate more than 1.9 billion health records covering 9.5 million patients across over 3,000 healthcare facilities, and are backed by explicit government support for AI-enabled healthcare and diagnostics (JLL, 2026). These conditions reduce barriers to customer acceptance of Neko's app-based reporting and algorithm-supported health assessments, while facilitating the integration of advanced preventive health services.</w:t>
      </w:r>
    </w:p>
    <w:p w14:paraId="0EB03720" w14:textId="345C0627" w:rsidR="00701183" w:rsidRPr="008441F4" w:rsidRDefault="00701183" w:rsidP="002A1050">
      <w:pPr>
        <w:spacing w:line="276" w:lineRule="auto"/>
        <w:rPr>
          <w:rFonts w:cs="Arial"/>
        </w:rPr>
      </w:pPr>
      <w:r w:rsidRPr="008441F4">
        <w:rPr>
          <w:rFonts w:cs="Arial"/>
        </w:rPr>
        <w:t>However, technological readiness does not confer sustainable advantage. Coviello et al. (2017) argue digitally enabled firms internationalise faster but face faster imitation, and Stallkamp and Schotter (2021) suggest digital business models are less scalable internationally than firms assume. This matters in the UAE, where well-capitalised providers can readily acquire advanced diagnostic technologies. Neko's advantage is therefore unlikely to stem from software alone, but from the integration of proprietary hardware, clinical expertise and validated diagnostic processes. Its international strategy should emphasise integrated diagnostics and clinical credibility rather than technological sophistication.</w:t>
      </w:r>
    </w:p>
    <w:p w14:paraId="3318A2CA" w14:textId="77777777" w:rsidR="0067119A" w:rsidRPr="008441F4" w:rsidRDefault="0067119A" w:rsidP="002A1050">
      <w:pPr>
        <w:spacing w:line="276" w:lineRule="auto"/>
        <w:rPr>
          <w:rFonts w:cs="Arial"/>
        </w:rPr>
      </w:pPr>
    </w:p>
    <w:p w14:paraId="33364960" w14:textId="165E29AD" w:rsidR="00701183" w:rsidRPr="008441F4" w:rsidRDefault="00701183" w:rsidP="002A1050">
      <w:pPr>
        <w:pStyle w:val="Heading2"/>
        <w:rPr>
          <w:rFonts w:cs="Arial"/>
        </w:rPr>
      </w:pPr>
      <w:bookmarkStart w:id="11" w:name="_Toc237314136"/>
      <w:r w:rsidRPr="008441F4">
        <w:rPr>
          <w:rFonts w:cs="Arial"/>
        </w:rPr>
        <w:t>Key Risk 1: Regulatory Complexity and Data Governance</w:t>
      </w:r>
      <w:bookmarkEnd w:id="11"/>
    </w:p>
    <w:p w14:paraId="3EDE9E45" w14:textId="32FD41B6" w:rsidR="00701183" w:rsidRPr="008441F4" w:rsidRDefault="00701183" w:rsidP="002A1050">
      <w:pPr>
        <w:spacing w:line="276" w:lineRule="auto"/>
        <w:rPr>
          <w:rFonts w:cs="Arial"/>
          <w:b/>
        </w:rPr>
      </w:pPr>
      <w:r w:rsidRPr="008441F4">
        <w:rPr>
          <w:rFonts w:cs="Arial"/>
        </w:rPr>
        <w:t>Despite favourable demand conditions, legal and regulatory requirements pose a significant challenge. UAE foreign investment legislation now permits up to 100 per cent foreign ownership of healthcare facilities, removing the historic requirement for a majority local partner and creating greater flexibility for market entry (Federal Decree-Law No. 26 of 2020) in free zones. However, healthcare data and medical technologies remain subject to substantial regulation.</w:t>
      </w:r>
    </w:p>
    <w:p w14:paraId="71D27647" w14:textId="77777777" w:rsidR="00701183" w:rsidRPr="008441F4" w:rsidRDefault="00701183" w:rsidP="002A1050">
      <w:pPr>
        <w:spacing w:line="276" w:lineRule="auto"/>
        <w:rPr>
          <w:rFonts w:cs="Arial"/>
        </w:rPr>
      </w:pPr>
    </w:p>
    <w:p w14:paraId="39EB5857" w14:textId="357195F5" w:rsidR="00701183" w:rsidRPr="008441F4" w:rsidRDefault="00701183" w:rsidP="002A1050">
      <w:pPr>
        <w:spacing w:line="276" w:lineRule="auto"/>
        <w:rPr>
          <w:rFonts w:cs="Arial"/>
          <w:b/>
        </w:rPr>
      </w:pPr>
      <w:r w:rsidRPr="008441F4">
        <w:rPr>
          <w:rFonts w:cs="Arial"/>
        </w:rPr>
        <w:lastRenderedPageBreak/>
        <w:t>Article 13 of the Health Data Law (Federal Law No. 2 of 2019) prohibits the storage, transfer or processing of UAE health data outside the country, and Ministerial Resolution No. 51 of 2021 sets out the limited cases in which transfers are permitted; this sits alongside the Personal Data Protection Law (Federal Decree-Law No. 45 of 2021). Non-compliance reportedly attracts penalties of AED 500,000 to AED 700,000. Because Neko's model analyses millions of health data points per scan, compliance will require local data infrastructure and potentially a dedicated UAE environment. This raises operating costs and may limit the cross-border learning advantages of Neko's global dataset.</w:t>
      </w:r>
    </w:p>
    <w:p w14:paraId="65379FCC" w14:textId="1B7D1887" w:rsidR="00701183" w:rsidRPr="008441F4" w:rsidRDefault="00701183" w:rsidP="002A1050">
      <w:pPr>
        <w:spacing w:line="276" w:lineRule="auto"/>
        <w:rPr>
          <w:rFonts w:cs="Arial"/>
          <w:b/>
        </w:rPr>
      </w:pPr>
      <w:r w:rsidRPr="008441F4">
        <w:rPr>
          <w:rFonts w:cs="Arial"/>
        </w:rPr>
        <w:t>Software as a medical device is separately regulated under Federal Decree-Law No. 38 of 2024, requiring classification-based registration aligned with EU and FDA principles. This sits alongside fragmented regulation across the Emirates, shown in Figure 1, which demands a separate process in each and is likely to slow post-entry expansion. Consistent with Doh et al. (2017), the challenge is not the absence of institutional structures but adapting to systems that differ from Sweden's. Neko's strategy should therefore prioritise regulatory capability and local expertise, with phased expansion beginning within a single emirate under DHCC to build compliance experience and operational legitimacy first.</w:t>
      </w:r>
    </w:p>
    <w:p w14:paraId="162989C4" w14:textId="77777777" w:rsidR="00A047D5" w:rsidRPr="008441F4" w:rsidRDefault="00F206D0" w:rsidP="002A1050">
      <w:pPr>
        <w:spacing w:line="276" w:lineRule="auto"/>
        <w:rPr>
          <w:rFonts w:cs="Arial"/>
        </w:rPr>
      </w:pPr>
      <w:r w:rsidRPr="008441F4">
        <w:rPr>
          <w:rFonts w:cs="Arial"/>
          <w:noProof/>
        </w:rPr>
        <w:drawing>
          <wp:inline distT="0" distB="0" distL="0" distR="0" wp14:anchorId="38B7AA2A" wp14:editId="3D8F7A68">
            <wp:extent cx="5252720" cy="4119880"/>
            <wp:effectExtent l="0" t="0" r="5080" b="0"/>
            <wp:docPr id="16037557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755763" name="Picture 1603755763"/>
                    <pic:cNvPicPr/>
                  </pic:nvPicPr>
                  <pic:blipFill>
                    <a:blip r:embed="rId9"/>
                    <a:stretch>
                      <a:fillRect/>
                    </a:stretch>
                  </pic:blipFill>
                  <pic:spPr>
                    <a:xfrm>
                      <a:off x="0" y="0"/>
                      <a:ext cx="5252720" cy="4119880"/>
                    </a:xfrm>
                    <a:prstGeom prst="rect">
                      <a:avLst/>
                    </a:prstGeom>
                  </pic:spPr>
                </pic:pic>
              </a:graphicData>
            </a:graphic>
          </wp:inline>
        </w:drawing>
      </w:r>
    </w:p>
    <w:p w14:paraId="5296CE9D" w14:textId="44931B6F" w:rsidR="00A047D5" w:rsidRPr="008441F4" w:rsidRDefault="00A047D5" w:rsidP="002A1050">
      <w:pPr>
        <w:spacing w:line="276" w:lineRule="auto"/>
        <w:rPr>
          <w:rFonts w:cs="Arial"/>
        </w:rPr>
      </w:pPr>
      <w:bookmarkStart w:id="12" w:name="_Toc237291759"/>
      <w:proofErr w:type="gramStart"/>
      <w:r w:rsidRPr="008441F4">
        <w:rPr>
          <w:rFonts w:cs="Arial"/>
        </w:rPr>
        <w:t>Figure  UAE</w:t>
      </w:r>
      <w:proofErr w:type="gramEnd"/>
      <w:r w:rsidRPr="008441F4">
        <w:rPr>
          <w:rFonts w:cs="Arial"/>
        </w:rPr>
        <w:t xml:space="preserve"> Healthcare Regulation Level (drawn from Al-Shamsi, 2025)</w:t>
      </w:r>
      <w:r w:rsidRPr="008441F4">
        <w:rPr>
          <w:rFonts w:cs="Arial"/>
        </w:rPr>
        <w:fldChar w:fldCharType="begin"/>
      </w:r>
      <w:r w:rsidRPr="008441F4">
        <w:rPr>
          <w:rFonts w:cs="Arial"/>
        </w:rPr>
        <w:instrText xml:space="preserve"> SEQ Figure \* ARABIC </w:instrText>
      </w:r>
      <w:r w:rsidRPr="008441F4">
        <w:rPr>
          <w:rFonts w:cs="Arial"/>
        </w:rPr>
        <w:fldChar w:fldCharType="separate"/>
      </w:r>
      <w:r w:rsidRPr="008441F4">
        <w:rPr>
          <w:rFonts w:cs="Arial"/>
          <w:noProof/>
        </w:rPr>
        <w:t>1</w:t>
      </w:r>
      <w:r w:rsidRPr="008441F4">
        <w:rPr>
          <w:rFonts w:cs="Arial"/>
          <w:noProof/>
        </w:rPr>
        <w:fldChar w:fldCharType="end"/>
      </w:r>
      <w:bookmarkEnd w:id="12"/>
    </w:p>
    <w:p w14:paraId="18C7D0D8" w14:textId="6472D4D9" w:rsidR="00701183" w:rsidRPr="008441F4" w:rsidRDefault="00F206D0" w:rsidP="002A1050">
      <w:pPr>
        <w:spacing w:line="276" w:lineRule="auto"/>
        <w:rPr>
          <w:rFonts w:cs="Arial"/>
        </w:rPr>
      </w:pPr>
      <w:r w:rsidRPr="008441F4">
        <w:rPr>
          <w:rFonts w:cs="Arial"/>
        </w:rPr>
        <w:fldChar w:fldCharType="begin"/>
      </w:r>
      <w:r w:rsidRPr="008441F4">
        <w:rPr>
          <w:rFonts w:cs="Arial"/>
        </w:rPr>
        <w:instrText xml:space="preserve"> INCLUDEPICTURE "blob:https://gemini.google.com/2e41fe5d-fbaf-412e-87a0-1716159e5059" \* MERGEFORMATINET </w:instrText>
      </w:r>
      <w:r w:rsidRPr="008441F4">
        <w:rPr>
          <w:rFonts w:cs="Arial"/>
        </w:rPr>
        <w:fldChar w:fldCharType="separate"/>
      </w:r>
      <w:r w:rsidRPr="008441F4">
        <w:rPr>
          <w:rFonts w:cs="Arial"/>
        </w:rPr>
        <w:fldChar w:fldCharType="end"/>
      </w:r>
    </w:p>
    <w:p w14:paraId="0782CA6D" w14:textId="4A015060" w:rsidR="00701183" w:rsidRPr="008441F4" w:rsidRDefault="00701183" w:rsidP="002A1050">
      <w:pPr>
        <w:pStyle w:val="Heading2"/>
        <w:rPr>
          <w:rFonts w:cs="Arial"/>
        </w:rPr>
      </w:pPr>
      <w:bookmarkStart w:id="13" w:name="_Toc237314137"/>
      <w:r w:rsidRPr="008441F4">
        <w:rPr>
          <w:rFonts w:cs="Arial"/>
        </w:rPr>
        <w:lastRenderedPageBreak/>
        <w:t>Key Risk 2: Difficulties in Replicating the Swedish Business Model</w:t>
      </w:r>
      <w:bookmarkEnd w:id="13"/>
    </w:p>
    <w:p w14:paraId="24E34C36" w14:textId="77777777" w:rsidR="00701183" w:rsidRPr="008441F4" w:rsidRDefault="00701183" w:rsidP="002A1050">
      <w:pPr>
        <w:spacing w:line="276" w:lineRule="auto"/>
        <w:rPr>
          <w:rFonts w:cs="Arial"/>
        </w:rPr>
      </w:pPr>
      <w:r w:rsidRPr="008441F4">
        <w:rPr>
          <w:rFonts w:cs="Arial"/>
        </w:rPr>
        <w:t>The most significant challenge may be adapting Neko's existing business model to local market conditions. Expatriates account for approximately 88.5 per cent of the UAE population, and the demographic profile is heavily concentrated among working-age groups (Global Media Insight, 2026). Although this creates a substantial addressable market, Neko's business model depends on repeat scanning over time. The value of the service increases when multiple scans create a longitudinal health record rather than a one-off diagnostic snapshot.</w:t>
      </w:r>
    </w:p>
    <w:p w14:paraId="3EEF7601" w14:textId="77777777" w:rsidR="00701183" w:rsidRPr="008441F4" w:rsidRDefault="00701183" w:rsidP="002A1050">
      <w:pPr>
        <w:spacing w:line="276" w:lineRule="auto"/>
        <w:rPr>
          <w:rFonts w:cs="Arial"/>
        </w:rPr>
      </w:pPr>
      <w:r w:rsidRPr="008441F4">
        <w:rPr>
          <w:rFonts w:cs="Arial"/>
        </w:rPr>
        <w:t>High levels of population mobility therefore pose a strategic risk, as customers may leave the UAE before generating sufficient lifetime value. In addition, expectations regarding bodily privacy and gender-concordant healthcare are likely to be stronger than in Sweden. As Neko's service involves near-full-body scanning, failure to adapt to these expectations could reduce uptake among key customer groups.</w:t>
      </w:r>
    </w:p>
    <w:p w14:paraId="00B15972" w14:textId="12C688FA" w:rsidR="00701183" w:rsidRPr="008441F4" w:rsidRDefault="00701183" w:rsidP="002A1050">
      <w:pPr>
        <w:spacing w:line="276" w:lineRule="auto"/>
        <w:rPr>
          <w:rFonts w:cs="Arial"/>
        </w:rPr>
      </w:pPr>
      <w:r w:rsidRPr="008441F4">
        <w:rPr>
          <w:rFonts w:cs="Arial"/>
        </w:rPr>
        <w:t>Consequently, transferring the Swedish model directly to the UAE is unlikely to maximise adoption. International expansion should involve meaningful localisation through Arabic-language reporting, gender-sensitive service provision, and portable health records that allow customers to retain continuity when relocating internationally. Such adaptations may transform population mobility from a risk into a source of differentiation.</w:t>
      </w:r>
    </w:p>
    <w:p w14:paraId="4155AF6A" w14:textId="77777777" w:rsidR="00EB2EC8" w:rsidRPr="008441F4" w:rsidRDefault="00EB2EC8" w:rsidP="002A1050">
      <w:pPr>
        <w:spacing w:line="276" w:lineRule="auto"/>
        <w:rPr>
          <w:rFonts w:cs="Arial"/>
        </w:rPr>
      </w:pPr>
    </w:p>
    <w:p w14:paraId="2E9E9FB0" w14:textId="500C7EA9" w:rsidR="004C3EA0" w:rsidRPr="008441F4" w:rsidRDefault="002F7D7D" w:rsidP="002A1050">
      <w:pPr>
        <w:spacing w:line="276" w:lineRule="auto"/>
        <w:rPr>
          <w:rFonts w:cs="Arial"/>
        </w:rPr>
      </w:pPr>
      <w:r w:rsidRPr="008441F4">
        <w:rPr>
          <w:rFonts w:cs="Arial"/>
        </w:rPr>
        <w:t>In summary, the U</w:t>
      </w:r>
      <w:r w:rsidR="00701183" w:rsidRPr="008441F4">
        <w:rPr>
          <w:rFonts w:cs="Arial"/>
        </w:rPr>
        <w:t>AE offers favourable conditions for Neko Health: strong government backing for preventive healthcare, AI and genomics; a substantial chronic disease burden; robust economic conditions; and advanced digital health infrastructure. The most strategically significant challenges are regulatory compliance and business model adaptation. Neko's strategy should therefore balance standardisation with local responsiveness while establishing regulatory legitimacy through phased expansion.</w:t>
      </w:r>
    </w:p>
    <w:p w14:paraId="216F543C" w14:textId="6CEA8DA1" w:rsidR="004C3EA0" w:rsidRPr="008441F4" w:rsidRDefault="004C3EA0" w:rsidP="002B2B31">
      <w:pPr>
        <w:spacing w:line="276" w:lineRule="auto"/>
        <w:rPr>
          <w:rFonts w:cs="Arial"/>
        </w:rPr>
      </w:pPr>
    </w:p>
    <w:p w14:paraId="3286AB47" w14:textId="2951F8DE" w:rsidR="006A152A" w:rsidRPr="008441F4" w:rsidRDefault="007E3B8B" w:rsidP="0067119A">
      <w:pPr>
        <w:pStyle w:val="Heading1"/>
        <w:numPr>
          <w:ilvl w:val="0"/>
          <w:numId w:val="18"/>
        </w:numPr>
        <w:rPr>
          <w:rFonts w:cs="Arial"/>
        </w:rPr>
      </w:pPr>
      <w:bookmarkStart w:id="14" w:name="_Toc237314138"/>
      <w:r w:rsidRPr="008441F4">
        <w:rPr>
          <w:rFonts w:cs="Arial"/>
        </w:rPr>
        <w:t>UAE Preventive Healthcare Industry</w:t>
      </w:r>
      <w:r w:rsidR="00FD3666" w:rsidRPr="008441F4">
        <w:rPr>
          <w:rFonts w:cs="Arial"/>
        </w:rPr>
        <w:t>: Porter's Five Forces analysis</w:t>
      </w:r>
      <w:bookmarkEnd w:id="14"/>
    </w:p>
    <w:p w14:paraId="7365925D" w14:textId="77777777" w:rsidR="006A152A" w:rsidRPr="008441F4" w:rsidRDefault="006A152A" w:rsidP="002B2B31">
      <w:pPr>
        <w:spacing w:line="276" w:lineRule="auto"/>
        <w:rPr>
          <w:rFonts w:cs="Arial"/>
        </w:rPr>
      </w:pPr>
      <w:r w:rsidRPr="008441F4">
        <w:rPr>
          <w:rFonts w:cs="Arial"/>
        </w:rPr>
        <w:t>Porter's Five Forces framework was applied to assess the attractiveness of the UAE preventive healthcare and longevity sector and identify the competitive pressures most likely to influence Neko Health's expansion into the market. While the sector benefits from strong demand and institutional support, several forces create barriers to successful market penetration and long-term profitability.</w:t>
      </w:r>
    </w:p>
    <w:p w14:paraId="1AACF63E" w14:textId="77777777" w:rsidR="006A152A" w:rsidRPr="008441F4" w:rsidRDefault="006A152A" w:rsidP="002B2B31">
      <w:pPr>
        <w:spacing w:line="276" w:lineRule="auto"/>
        <w:rPr>
          <w:rFonts w:cs="Arial"/>
        </w:rPr>
      </w:pPr>
    </w:p>
    <w:p w14:paraId="786F771F" w14:textId="22D9B63F" w:rsidR="006A152A" w:rsidRPr="008441F4" w:rsidRDefault="006A152A" w:rsidP="002B2B31">
      <w:pPr>
        <w:spacing w:line="276" w:lineRule="auto"/>
        <w:rPr>
          <w:rFonts w:cs="Arial"/>
        </w:rPr>
      </w:pPr>
    </w:p>
    <w:tbl>
      <w:tblPr>
        <w:tblStyle w:val="TableGrid1"/>
        <w:tblW w:w="0" w:type="auto"/>
        <w:tblLook w:val="04A0" w:firstRow="1" w:lastRow="0" w:firstColumn="1" w:lastColumn="0" w:noHBand="0" w:noVBand="1"/>
      </w:tblPr>
      <w:tblGrid>
        <w:gridCol w:w="1876"/>
        <w:gridCol w:w="1687"/>
        <w:gridCol w:w="4699"/>
      </w:tblGrid>
      <w:tr w:rsidR="006A152A" w:rsidRPr="008441F4" w14:paraId="44DCE218" w14:textId="77777777" w:rsidTr="006A152A">
        <w:tc>
          <w:tcPr>
            <w:tcW w:w="0" w:type="auto"/>
            <w:hideMark/>
          </w:tcPr>
          <w:p w14:paraId="17D9C504" w14:textId="77777777" w:rsidR="006A152A" w:rsidRPr="008441F4" w:rsidRDefault="006A152A" w:rsidP="002B2B31">
            <w:pPr>
              <w:spacing w:line="276" w:lineRule="auto"/>
              <w:jc w:val="center"/>
              <w:rPr>
                <w:rFonts w:cs="Arial"/>
                <w:b/>
                <w:bCs/>
                <w:sz w:val="24"/>
                <w:szCs w:val="24"/>
              </w:rPr>
            </w:pPr>
            <w:r w:rsidRPr="008441F4">
              <w:rPr>
                <w:rFonts w:cs="Arial"/>
                <w:b/>
                <w:bCs/>
                <w:sz w:val="24"/>
                <w:szCs w:val="24"/>
              </w:rPr>
              <w:lastRenderedPageBreak/>
              <w:t>Force</w:t>
            </w:r>
          </w:p>
        </w:tc>
        <w:tc>
          <w:tcPr>
            <w:tcW w:w="0" w:type="auto"/>
            <w:hideMark/>
          </w:tcPr>
          <w:p w14:paraId="1867F190" w14:textId="77777777" w:rsidR="006A152A" w:rsidRPr="008441F4" w:rsidRDefault="006A152A" w:rsidP="002B2B31">
            <w:pPr>
              <w:spacing w:line="276" w:lineRule="auto"/>
              <w:jc w:val="center"/>
              <w:rPr>
                <w:rFonts w:cs="Arial"/>
                <w:b/>
                <w:bCs/>
                <w:sz w:val="24"/>
                <w:szCs w:val="24"/>
              </w:rPr>
            </w:pPr>
            <w:r w:rsidRPr="008441F4">
              <w:rPr>
                <w:rFonts w:cs="Arial"/>
                <w:b/>
                <w:bCs/>
                <w:sz w:val="24"/>
                <w:szCs w:val="24"/>
              </w:rPr>
              <w:t>Assessment</w:t>
            </w:r>
          </w:p>
        </w:tc>
        <w:tc>
          <w:tcPr>
            <w:tcW w:w="0" w:type="auto"/>
            <w:hideMark/>
          </w:tcPr>
          <w:p w14:paraId="66AAE33F" w14:textId="77777777" w:rsidR="006A152A" w:rsidRPr="008441F4" w:rsidRDefault="006A152A" w:rsidP="002B2B31">
            <w:pPr>
              <w:spacing w:line="276" w:lineRule="auto"/>
              <w:jc w:val="center"/>
              <w:rPr>
                <w:rFonts w:cs="Arial"/>
                <w:b/>
                <w:bCs/>
                <w:sz w:val="24"/>
                <w:szCs w:val="24"/>
              </w:rPr>
            </w:pPr>
            <w:r w:rsidRPr="008441F4">
              <w:rPr>
                <w:rFonts w:cs="Arial"/>
                <w:b/>
                <w:bCs/>
                <w:sz w:val="24"/>
                <w:szCs w:val="24"/>
              </w:rPr>
              <w:t>Strategic Significance</w:t>
            </w:r>
          </w:p>
        </w:tc>
      </w:tr>
      <w:tr w:rsidR="006A152A" w:rsidRPr="008441F4" w14:paraId="5E2BBCF4" w14:textId="77777777" w:rsidTr="006A152A">
        <w:tc>
          <w:tcPr>
            <w:tcW w:w="0" w:type="auto"/>
            <w:hideMark/>
          </w:tcPr>
          <w:p w14:paraId="68DA965F" w14:textId="77777777" w:rsidR="006A152A" w:rsidRPr="008441F4" w:rsidRDefault="006A152A" w:rsidP="002B2B31">
            <w:pPr>
              <w:spacing w:line="276" w:lineRule="auto"/>
              <w:jc w:val="left"/>
              <w:rPr>
                <w:rFonts w:cs="Arial"/>
                <w:sz w:val="24"/>
                <w:szCs w:val="24"/>
              </w:rPr>
            </w:pPr>
            <w:r w:rsidRPr="008441F4">
              <w:rPr>
                <w:rFonts w:cs="Arial"/>
                <w:sz w:val="24"/>
                <w:szCs w:val="24"/>
              </w:rPr>
              <w:t>Competitive Rivalry</w:t>
            </w:r>
          </w:p>
        </w:tc>
        <w:tc>
          <w:tcPr>
            <w:tcW w:w="0" w:type="auto"/>
            <w:hideMark/>
          </w:tcPr>
          <w:p w14:paraId="24C7AAAE" w14:textId="77777777" w:rsidR="006A152A" w:rsidRPr="008441F4" w:rsidRDefault="006A152A" w:rsidP="002B2B31">
            <w:pPr>
              <w:spacing w:line="276" w:lineRule="auto"/>
              <w:rPr>
                <w:rFonts w:cs="Arial"/>
                <w:sz w:val="24"/>
                <w:szCs w:val="24"/>
              </w:rPr>
            </w:pPr>
            <w:r w:rsidRPr="008441F4">
              <w:rPr>
                <w:rFonts w:cs="Arial"/>
                <w:sz w:val="24"/>
                <w:szCs w:val="24"/>
              </w:rPr>
              <w:t>High</w:t>
            </w:r>
          </w:p>
        </w:tc>
        <w:tc>
          <w:tcPr>
            <w:tcW w:w="0" w:type="auto"/>
            <w:hideMark/>
          </w:tcPr>
          <w:p w14:paraId="1AEBABD5" w14:textId="77777777" w:rsidR="006A152A" w:rsidRPr="008441F4" w:rsidRDefault="006A152A" w:rsidP="002B2B31">
            <w:pPr>
              <w:spacing w:line="276" w:lineRule="auto"/>
              <w:rPr>
                <w:rFonts w:cs="Arial"/>
                <w:sz w:val="24"/>
                <w:szCs w:val="24"/>
              </w:rPr>
            </w:pPr>
            <w:r w:rsidRPr="008441F4">
              <w:rPr>
                <w:rFonts w:cs="Arial"/>
                <w:sz w:val="24"/>
                <w:szCs w:val="24"/>
              </w:rPr>
              <w:t>Numerous premium longevity providers target the same affluent customer segment.</w:t>
            </w:r>
          </w:p>
        </w:tc>
      </w:tr>
      <w:tr w:rsidR="006A152A" w:rsidRPr="008441F4" w14:paraId="7CC3530F" w14:textId="77777777" w:rsidTr="006A152A">
        <w:tc>
          <w:tcPr>
            <w:tcW w:w="0" w:type="auto"/>
            <w:hideMark/>
          </w:tcPr>
          <w:p w14:paraId="4EFCCDC8" w14:textId="77777777" w:rsidR="006A152A" w:rsidRPr="008441F4" w:rsidRDefault="006A152A" w:rsidP="002B2B31">
            <w:pPr>
              <w:spacing w:line="276" w:lineRule="auto"/>
              <w:rPr>
                <w:rFonts w:cs="Arial"/>
                <w:sz w:val="24"/>
                <w:szCs w:val="24"/>
              </w:rPr>
            </w:pPr>
            <w:r w:rsidRPr="008441F4">
              <w:rPr>
                <w:rFonts w:cs="Arial"/>
                <w:sz w:val="24"/>
                <w:szCs w:val="24"/>
              </w:rPr>
              <w:t>Threat of New Entrants</w:t>
            </w:r>
          </w:p>
        </w:tc>
        <w:tc>
          <w:tcPr>
            <w:tcW w:w="0" w:type="auto"/>
            <w:hideMark/>
          </w:tcPr>
          <w:p w14:paraId="536F5622" w14:textId="77777777" w:rsidR="006A152A" w:rsidRPr="008441F4" w:rsidRDefault="006A152A" w:rsidP="002B2B31">
            <w:pPr>
              <w:spacing w:line="276" w:lineRule="auto"/>
              <w:rPr>
                <w:rFonts w:cs="Arial"/>
                <w:sz w:val="24"/>
                <w:szCs w:val="24"/>
              </w:rPr>
            </w:pPr>
            <w:r w:rsidRPr="008441F4">
              <w:rPr>
                <w:rFonts w:cs="Arial"/>
                <w:sz w:val="24"/>
                <w:szCs w:val="24"/>
              </w:rPr>
              <w:t>Moderate-High</w:t>
            </w:r>
          </w:p>
        </w:tc>
        <w:tc>
          <w:tcPr>
            <w:tcW w:w="0" w:type="auto"/>
            <w:hideMark/>
          </w:tcPr>
          <w:p w14:paraId="71484671" w14:textId="77777777" w:rsidR="006A152A" w:rsidRPr="008441F4" w:rsidRDefault="006A152A" w:rsidP="002B2B31">
            <w:pPr>
              <w:spacing w:line="276" w:lineRule="auto"/>
              <w:rPr>
                <w:rFonts w:cs="Arial"/>
                <w:sz w:val="24"/>
                <w:szCs w:val="24"/>
              </w:rPr>
            </w:pPr>
            <w:r w:rsidRPr="008441F4">
              <w:rPr>
                <w:rFonts w:cs="Arial"/>
                <w:sz w:val="24"/>
                <w:szCs w:val="24"/>
              </w:rPr>
              <w:t>Favourable investment conditions encourage additional market entrants.</w:t>
            </w:r>
          </w:p>
        </w:tc>
      </w:tr>
      <w:tr w:rsidR="006A152A" w:rsidRPr="008441F4" w14:paraId="631BC78B" w14:textId="77777777" w:rsidTr="006A152A">
        <w:tc>
          <w:tcPr>
            <w:tcW w:w="0" w:type="auto"/>
            <w:hideMark/>
          </w:tcPr>
          <w:p w14:paraId="6C5669F2" w14:textId="77777777" w:rsidR="006A152A" w:rsidRPr="008441F4" w:rsidRDefault="006A152A" w:rsidP="002B2B31">
            <w:pPr>
              <w:spacing w:line="276" w:lineRule="auto"/>
              <w:rPr>
                <w:rFonts w:cs="Arial"/>
                <w:sz w:val="24"/>
                <w:szCs w:val="24"/>
              </w:rPr>
            </w:pPr>
            <w:r w:rsidRPr="008441F4">
              <w:rPr>
                <w:rFonts w:cs="Arial"/>
                <w:sz w:val="24"/>
                <w:szCs w:val="24"/>
              </w:rPr>
              <w:t>Supplier Power</w:t>
            </w:r>
          </w:p>
        </w:tc>
        <w:tc>
          <w:tcPr>
            <w:tcW w:w="0" w:type="auto"/>
            <w:hideMark/>
          </w:tcPr>
          <w:p w14:paraId="4A2B60B9" w14:textId="77777777" w:rsidR="006A152A" w:rsidRPr="008441F4" w:rsidRDefault="006A152A" w:rsidP="002B2B31">
            <w:pPr>
              <w:spacing w:line="276" w:lineRule="auto"/>
              <w:rPr>
                <w:rFonts w:cs="Arial"/>
                <w:sz w:val="24"/>
                <w:szCs w:val="24"/>
              </w:rPr>
            </w:pPr>
            <w:r w:rsidRPr="008441F4">
              <w:rPr>
                <w:rFonts w:cs="Arial"/>
                <w:sz w:val="24"/>
                <w:szCs w:val="24"/>
              </w:rPr>
              <w:t>Low-Moderate</w:t>
            </w:r>
          </w:p>
        </w:tc>
        <w:tc>
          <w:tcPr>
            <w:tcW w:w="0" w:type="auto"/>
            <w:hideMark/>
          </w:tcPr>
          <w:p w14:paraId="7D2A8420" w14:textId="77777777" w:rsidR="006A152A" w:rsidRPr="008441F4" w:rsidRDefault="006A152A" w:rsidP="002B2B31">
            <w:pPr>
              <w:spacing w:line="276" w:lineRule="auto"/>
              <w:rPr>
                <w:rFonts w:cs="Arial"/>
                <w:sz w:val="24"/>
                <w:szCs w:val="24"/>
              </w:rPr>
            </w:pPr>
            <w:r w:rsidRPr="008441F4">
              <w:rPr>
                <w:rFonts w:cs="Arial"/>
                <w:sz w:val="24"/>
                <w:szCs w:val="24"/>
              </w:rPr>
              <w:t>Neko's vertical integration reduces supplier dependence, although clinical labour remains constrained.</w:t>
            </w:r>
          </w:p>
        </w:tc>
      </w:tr>
      <w:tr w:rsidR="006A152A" w:rsidRPr="008441F4" w14:paraId="2360DDC9" w14:textId="77777777" w:rsidTr="006A152A">
        <w:tc>
          <w:tcPr>
            <w:tcW w:w="0" w:type="auto"/>
            <w:hideMark/>
          </w:tcPr>
          <w:p w14:paraId="3BC30C5E" w14:textId="77777777" w:rsidR="006A152A" w:rsidRPr="008441F4" w:rsidRDefault="006A152A" w:rsidP="002B2B31">
            <w:pPr>
              <w:spacing w:line="276" w:lineRule="auto"/>
              <w:rPr>
                <w:rFonts w:cs="Arial"/>
                <w:sz w:val="24"/>
                <w:szCs w:val="24"/>
              </w:rPr>
            </w:pPr>
            <w:r w:rsidRPr="008441F4">
              <w:rPr>
                <w:rFonts w:cs="Arial"/>
                <w:sz w:val="24"/>
                <w:szCs w:val="24"/>
              </w:rPr>
              <w:t>Buyer Power</w:t>
            </w:r>
          </w:p>
        </w:tc>
        <w:tc>
          <w:tcPr>
            <w:tcW w:w="0" w:type="auto"/>
            <w:hideMark/>
          </w:tcPr>
          <w:p w14:paraId="44BE4911" w14:textId="77777777" w:rsidR="006A152A" w:rsidRPr="008441F4" w:rsidRDefault="006A152A" w:rsidP="002B2B31">
            <w:pPr>
              <w:spacing w:line="276" w:lineRule="auto"/>
              <w:rPr>
                <w:rFonts w:cs="Arial"/>
                <w:sz w:val="24"/>
                <w:szCs w:val="24"/>
              </w:rPr>
            </w:pPr>
            <w:r w:rsidRPr="008441F4">
              <w:rPr>
                <w:rFonts w:cs="Arial"/>
                <w:sz w:val="24"/>
                <w:szCs w:val="24"/>
              </w:rPr>
              <w:t>Moderate-High</w:t>
            </w:r>
          </w:p>
        </w:tc>
        <w:tc>
          <w:tcPr>
            <w:tcW w:w="0" w:type="auto"/>
            <w:hideMark/>
          </w:tcPr>
          <w:p w14:paraId="5305DFA0" w14:textId="77777777" w:rsidR="006A152A" w:rsidRPr="008441F4" w:rsidRDefault="006A152A" w:rsidP="002B2B31">
            <w:pPr>
              <w:spacing w:line="276" w:lineRule="auto"/>
              <w:rPr>
                <w:rFonts w:cs="Arial"/>
                <w:sz w:val="24"/>
                <w:szCs w:val="24"/>
              </w:rPr>
            </w:pPr>
            <w:r w:rsidRPr="008441F4">
              <w:rPr>
                <w:rFonts w:cs="Arial"/>
                <w:sz w:val="24"/>
                <w:szCs w:val="24"/>
              </w:rPr>
              <w:t>Customers can compare alternatives easily and face low initial switching costs.</w:t>
            </w:r>
          </w:p>
        </w:tc>
      </w:tr>
      <w:tr w:rsidR="006A152A" w:rsidRPr="008441F4" w14:paraId="566DBDED" w14:textId="77777777" w:rsidTr="006A152A">
        <w:tc>
          <w:tcPr>
            <w:tcW w:w="0" w:type="auto"/>
            <w:hideMark/>
          </w:tcPr>
          <w:p w14:paraId="562927A2" w14:textId="77777777" w:rsidR="006A152A" w:rsidRPr="008441F4" w:rsidRDefault="006A152A" w:rsidP="002B2B31">
            <w:pPr>
              <w:spacing w:line="276" w:lineRule="auto"/>
              <w:rPr>
                <w:rFonts w:cs="Arial"/>
                <w:sz w:val="24"/>
                <w:szCs w:val="24"/>
              </w:rPr>
            </w:pPr>
            <w:r w:rsidRPr="008441F4">
              <w:rPr>
                <w:rFonts w:cs="Arial"/>
                <w:sz w:val="24"/>
                <w:szCs w:val="24"/>
              </w:rPr>
              <w:t>Threat of Substitutes</w:t>
            </w:r>
          </w:p>
        </w:tc>
        <w:tc>
          <w:tcPr>
            <w:tcW w:w="0" w:type="auto"/>
            <w:hideMark/>
          </w:tcPr>
          <w:p w14:paraId="03E253DD" w14:textId="77777777" w:rsidR="006A152A" w:rsidRPr="008441F4" w:rsidRDefault="006A152A" w:rsidP="002B2B31">
            <w:pPr>
              <w:spacing w:line="276" w:lineRule="auto"/>
              <w:rPr>
                <w:rFonts w:cs="Arial"/>
                <w:sz w:val="24"/>
                <w:szCs w:val="24"/>
              </w:rPr>
            </w:pPr>
            <w:r w:rsidRPr="008441F4">
              <w:rPr>
                <w:rFonts w:cs="Arial"/>
                <w:sz w:val="24"/>
                <w:szCs w:val="24"/>
              </w:rPr>
              <w:t>High</w:t>
            </w:r>
          </w:p>
        </w:tc>
        <w:tc>
          <w:tcPr>
            <w:tcW w:w="0" w:type="auto"/>
            <w:hideMark/>
          </w:tcPr>
          <w:p w14:paraId="1CB7E8E1" w14:textId="77777777" w:rsidR="006A152A" w:rsidRPr="008441F4" w:rsidRDefault="006A152A" w:rsidP="002B2B31">
            <w:pPr>
              <w:keepNext/>
              <w:spacing w:line="276" w:lineRule="auto"/>
              <w:rPr>
                <w:rFonts w:cs="Arial"/>
                <w:sz w:val="24"/>
                <w:szCs w:val="24"/>
              </w:rPr>
            </w:pPr>
            <w:r w:rsidRPr="008441F4">
              <w:rPr>
                <w:rFonts w:cs="Arial"/>
                <w:sz w:val="24"/>
                <w:szCs w:val="24"/>
              </w:rPr>
              <w:t>Multiple alternative solutions satisfy the same preventive-health need.</w:t>
            </w:r>
          </w:p>
        </w:tc>
      </w:tr>
    </w:tbl>
    <w:p w14:paraId="40CABC29" w14:textId="0400847A" w:rsidR="006A152A" w:rsidRPr="008441F4" w:rsidRDefault="006A152A" w:rsidP="002B2B31">
      <w:pPr>
        <w:pStyle w:val="Caption"/>
        <w:spacing w:line="276" w:lineRule="auto"/>
        <w:rPr>
          <w:rFonts w:cs="Arial"/>
          <w:i w:val="0"/>
          <w:iCs w:val="0"/>
          <w:color w:val="000000" w:themeColor="text1"/>
          <w:sz w:val="24"/>
          <w:szCs w:val="24"/>
        </w:rPr>
      </w:pPr>
      <w:bookmarkStart w:id="15" w:name="_Toc237291752"/>
      <w:r w:rsidRPr="008441F4">
        <w:rPr>
          <w:rFonts w:cs="Arial"/>
          <w:i w:val="0"/>
          <w:iCs w:val="0"/>
          <w:color w:val="000000" w:themeColor="text1"/>
          <w:sz w:val="24"/>
          <w:szCs w:val="24"/>
        </w:rPr>
        <w:t xml:space="preserve">Table </w:t>
      </w:r>
      <w:r w:rsidRPr="008441F4">
        <w:rPr>
          <w:rFonts w:cs="Arial"/>
          <w:i w:val="0"/>
          <w:iCs w:val="0"/>
          <w:color w:val="000000" w:themeColor="text1"/>
          <w:sz w:val="24"/>
          <w:szCs w:val="24"/>
        </w:rPr>
        <w:fldChar w:fldCharType="begin"/>
      </w:r>
      <w:r w:rsidRPr="008441F4">
        <w:rPr>
          <w:rFonts w:cs="Arial"/>
          <w:i w:val="0"/>
          <w:iCs w:val="0"/>
          <w:color w:val="000000" w:themeColor="text1"/>
          <w:sz w:val="24"/>
          <w:szCs w:val="24"/>
        </w:rPr>
        <w:instrText xml:space="preserve"> SEQ Table \* ARABIC </w:instrText>
      </w:r>
      <w:r w:rsidRPr="008441F4">
        <w:rPr>
          <w:rFonts w:cs="Arial"/>
          <w:i w:val="0"/>
          <w:iCs w:val="0"/>
          <w:color w:val="000000" w:themeColor="text1"/>
          <w:sz w:val="24"/>
          <w:szCs w:val="24"/>
        </w:rPr>
        <w:fldChar w:fldCharType="separate"/>
      </w:r>
      <w:r w:rsidR="000B2CD2" w:rsidRPr="008441F4">
        <w:rPr>
          <w:rFonts w:cs="Arial"/>
          <w:i w:val="0"/>
          <w:iCs w:val="0"/>
          <w:noProof/>
          <w:color w:val="000000" w:themeColor="text1"/>
          <w:sz w:val="24"/>
          <w:szCs w:val="24"/>
        </w:rPr>
        <w:t>1</w:t>
      </w:r>
      <w:r w:rsidRPr="008441F4">
        <w:rPr>
          <w:rFonts w:cs="Arial"/>
          <w:i w:val="0"/>
          <w:iCs w:val="0"/>
          <w:color w:val="000000" w:themeColor="text1"/>
          <w:sz w:val="24"/>
          <w:szCs w:val="24"/>
        </w:rPr>
        <w:fldChar w:fldCharType="end"/>
      </w:r>
      <w:r w:rsidRPr="008441F4">
        <w:rPr>
          <w:rFonts w:cs="Arial"/>
          <w:i w:val="0"/>
          <w:iCs w:val="0"/>
          <w:color w:val="000000" w:themeColor="text1"/>
          <w:sz w:val="24"/>
          <w:szCs w:val="24"/>
        </w:rPr>
        <w:t xml:space="preserve"> Industry Attractiveness Assessment</w:t>
      </w:r>
      <w:bookmarkEnd w:id="15"/>
    </w:p>
    <w:p w14:paraId="33B15DA2" w14:textId="77777777" w:rsidR="006A152A" w:rsidRPr="008441F4" w:rsidRDefault="006A152A" w:rsidP="002B2B31">
      <w:pPr>
        <w:spacing w:line="276" w:lineRule="auto"/>
        <w:rPr>
          <w:rFonts w:cs="Arial"/>
        </w:rPr>
      </w:pPr>
    </w:p>
    <w:p w14:paraId="3CA13F92" w14:textId="77777777" w:rsidR="006A152A" w:rsidRPr="008441F4" w:rsidRDefault="006A152A" w:rsidP="002B2B31">
      <w:pPr>
        <w:spacing w:line="276" w:lineRule="auto"/>
        <w:rPr>
          <w:rFonts w:cs="Arial"/>
        </w:rPr>
      </w:pPr>
      <w:r w:rsidRPr="008441F4">
        <w:rPr>
          <w:rFonts w:cs="Arial"/>
        </w:rPr>
        <w:t>Overall, the industry appears moderately attractive. However, competitive pressures are unevenly distributed, with substitutes representing the most significant challenge to Neko's market positioning.</w:t>
      </w:r>
    </w:p>
    <w:p w14:paraId="1110933E" w14:textId="77777777" w:rsidR="006A152A" w:rsidRPr="008441F4" w:rsidRDefault="006A152A" w:rsidP="002B2B31">
      <w:pPr>
        <w:spacing w:line="276" w:lineRule="auto"/>
        <w:rPr>
          <w:rFonts w:cs="Arial"/>
        </w:rPr>
      </w:pPr>
    </w:p>
    <w:p w14:paraId="053FE310" w14:textId="3661DA08" w:rsidR="006A152A" w:rsidRPr="008441F4" w:rsidRDefault="006A152A" w:rsidP="00EB2EC8">
      <w:pPr>
        <w:pStyle w:val="Heading2"/>
        <w:rPr>
          <w:rFonts w:cs="Arial"/>
        </w:rPr>
      </w:pPr>
      <w:bookmarkStart w:id="16" w:name="_Toc237314139"/>
      <w:r w:rsidRPr="008441F4">
        <w:rPr>
          <w:rFonts w:cs="Arial"/>
        </w:rPr>
        <w:t>The Critical Constraint: Threat of Substitutes</w:t>
      </w:r>
      <w:bookmarkEnd w:id="16"/>
    </w:p>
    <w:p w14:paraId="55D343FE" w14:textId="68806736" w:rsidR="006A152A" w:rsidRPr="008441F4" w:rsidRDefault="006A152A" w:rsidP="002B2B31">
      <w:pPr>
        <w:spacing w:line="276" w:lineRule="auto"/>
        <w:rPr>
          <w:rFonts w:cs="Arial"/>
        </w:rPr>
      </w:pPr>
      <w:r w:rsidRPr="008441F4">
        <w:rPr>
          <w:rFonts w:cs="Arial"/>
        </w:rPr>
        <w:t>Among the five forces, the threat of substitutes represents the most significant constraint because it challenges the need for Neko's service rather than simply increasing competition within the industry. Consumers seeking early detection and preventive-health insights can access similar outcomes through executive health check-ups, specialist consultations, direct-to-consumer biomarker testing, medical tourism and wearable technologies. These alternatives often require lower financial commitment and are already familiar to many consumers, reducing dependence on comprehensive annual scanning.</w:t>
      </w:r>
    </w:p>
    <w:p w14:paraId="631E8D27" w14:textId="70A79808" w:rsidR="006A152A" w:rsidRPr="008441F4" w:rsidRDefault="006A152A" w:rsidP="002B2B31">
      <w:pPr>
        <w:spacing w:line="276" w:lineRule="auto"/>
        <w:rPr>
          <w:rFonts w:cs="Arial"/>
        </w:rPr>
      </w:pPr>
      <w:r w:rsidRPr="008441F4">
        <w:rPr>
          <w:rFonts w:cs="Arial"/>
        </w:rPr>
        <w:t xml:space="preserve">The substitute threat is strengthened by advances in wearable technology. Devices such as Apple Watch, Oura Ring and WHOOP provide continuous physiological monitoring without a clinic visit. Barrera et al. (2025) found smartwatch-based detection of atrial fibrillation achieved pooled sensitivity of approximately 95 per cent and specificity of approximately 97 per cent across 26 studies involving 17,349 patients. Although the authors caution that performance may be lower in general populations and generate false positives, wearables are increasingly capable of insights previously confined to clinical </w:t>
      </w:r>
      <w:r w:rsidRPr="008441F4">
        <w:rPr>
          <w:rFonts w:cs="Arial"/>
        </w:rPr>
        <w:lastRenderedPageBreak/>
        <w:t>settings. This is particularly relevant in the UAE, where the Department of Health Abu Dhabi has partnered with Ōura within its preventive-health strategy (DoH, 2026b).</w:t>
      </w:r>
    </w:p>
    <w:p w14:paraId="261A0EAD" w14:textId="77777777" w:rsidR="006A152A" w:rsidRPr="008441F4" w:rsidRDefault="006A152A" w:rsidP="002B2B31">
      <w:pPr>
        <w:spacing w:line="276" w:lineRule="auto"/>
        <w:rPr>
          <w:rFonts w:cs="Arial"/>
        </w:rPr>
      </w:pPr>
      <w:r w:rsidRPr="008441F4">
        <w:rPr>
          <w:rFonts w:cs="Arial"/>
        </w:rPr>
        <w:t>Substitutes are therefore strategically more significant than competitive rivalry. Rival clinics such as Longevium, Clinique La Prairie, AEON Clinic, Elite Vita and Pura Longevity compete within the preventive-health category and contribute to market growth (JLL, 2026; World Longevity Clinics, 2026; Zawya, 2026). By contrast, substitutes may reduce consumers' perceived need to enter the category at all. If a wearable device combined with an executive health check-up is considered sufficient to manage health risks, Neko's premium annual scan may be viewed as discretionary rather than necessary. Consequently, the principal challenge is not awareness of preventive healthcare but convincing consumers that Neko provides clinically meaningful value beyond existing alternatives.</w:t>
      </w:r>
    </w:p>
    <w:p w14:paraId="50B1BFD7" w14:textId="77777777" w:rsidR="006A152A" w:rsidRPr="008441F4" w:rsidRDefault="006A152A" w:rsidP="002B2B31">
      <w:pPr>
        <w:spacing w:line="276" w:lineRule="auto"/>
        <w:rPr>
          <w:rFonts w:cs="Arial"/>
        </w:rPr>
      </w:pPr>
    </w:p>
    <w:p w14:paraId="40D38328" w14:textId="62F63800" w:rsidR="006A152A" w:rsidRPr="008441F4" w:rsidRDefault="006A152A" w:rsidP="00EB2EC8">
      <w:pPr>
        <w:pStyle w:val="Heading2"/>
        <w:rPr>
          <w:rFonts w:cs="Arial"/>
        </w:rPr>
      </w:pPr>
      <w:bookmarkStart w:id="17" w:name="_Toc237314140"/>
      <w:r w:rsidRPr="008441F4">
        <w:rPr>
          <w:rFonts w:cs="Arial"/>
        </w:rPr>
        <w:t>Entry Mode Response</w:t>
      </w:r>
      <w:bookmarkEnd w:id="17"/>
    </w:p>
    <w:p w14:paraId="07706553" w14:textId="2571792A" w:rsidR="006A152A" w:rsidRPr="008441F4" w:rsidRDefault="006A152A" w:rsidP="002B2B31">
      <w:pPr>
        <w:spacing w:line="276" w:lineRule="auto"/>
        <w:rPr>
          <w:rFonts w:cs="Arial"/>
        </w:rPr>
      </w:pPr>
      <w:r w:rsidRPr="008441F4">
        <w:rPr>
          <w:rFonts w:cs="Arial"/>
        </w:rPr>
        <w:t>The identification of substitutes as the dominant competitive constraint has important implications for market entry. Because the main challenge is differentiation rather than access, Neko must ensure that its value proposition remains distinct from both competing longevity clinics and substitute solutions.</w:t>
      </w:r>
    </w:p>
    <w:p w14:paraId="5DBB99F7" w14:textId="0D41FCF4" w:rsidR="006A152A" w:rsidRPr="008441F4" w:rsidRDefault="006A152A" w:rsidP="002B2B31">
      <w:pPr>
        <w:spacing w:line="276" w:lineRule="auto"/>
        <w:rPr>
          <w:rFonts w:cs="Arial"/>
        </w:rPr>
      </w:pPr>
      <w:r w:rsidRPr="008441F4">
        <w:rPr>
          <w:rFonts w:cs="Arial"/>
        </w:rPr>
        <w:t>A Greenfield subsidiary responds effectively to this challenge because it allows Neko to establish a purpose-built operation that replicates its integrated healthcare model rather than adapting it through a partner organisation. The company's competitive advantage is derived from the combination of proprietary hardware, software, clinical workflows and patient experience rather than any single component (Neko Health, 2026a). Maintaining this integration is particularly important in a market where consumers are already exposed to competing diagnostic services and rapidly improving wearable technologies.</w:t>
      </w:r>
    </w:p>
    <w:p w14:paraId="010E8874" w14:textId="77777777" w:rsidR="006A152A" w:rsidRPr="008441F4" w:rsidRDefault="006A152A" w:rsidP="002B2B31">
      <w:pPr>
        <w:spacing w:line="276" w:lineRule="auto"/>
        <w:rPr>
          <w:rFonts w:cs="Arial"/>
        </w:rPr>
      </w:pPr>
      <w:r w:rsidRPr="008441F4">
        <w:rPr>
          <w:rFonts w:cs="Arial"/>
        </w:rPr>
        <w:t>Furthermore, a Greenfield operation enables Neko to present a consistent clinical identity and avoid being positioned alongside premium wellness providers that compete primarily through luxury, price or lifestyle branding. As rivalry in the UAE longevity sector increasingly centres on premium customer acquisition (INNOCOS Longevity Summit, 2025; Zawya, 2026), preserving operational control strengthens Neko's ability to communicate a distinct clinical narrative. This is consistent with the firm's strategy of competing through proprietary measurement and validated diagnostics rather than through hospitality-oriented healthcare experiences.</w:t>
      </w:r>
    </w:p>
    <w:p w14:paraId="479E2CCE" w14:textId="5B4A4847" w:rsidR="007E3B8B" w:rsidRPr="008441F4" w:rsidRDefault="00E80B42" w:rsidP="002B2B31">
      <w:pPr>
        <w:spacing w:line="276" w:lineRule="auto"/>
        <w:rPr>
          <w:rFonts w:cs="Arial"/>
        </w:rPr>
      </w:pPr>
      <w:r w:rsidRPr="008441F4">
        <w:rPr>
          <w:rFonts w:cs="Arial"/>
        </w:rPr>
        <w:t xml:space="preserve">Overall, </w:t>
      </w:r>
      <w:r w:rsidR="006A152A" w:rsidRPr="008441F4">
        <w:rPr>
          <w:rFonts w:cs="Arial"/>
        </w:rPr>
        <w:t xml:space="preserve">UAE preventive healthcare industry offers attractive growth but considerable competitive pressure. Rivalry is intense, buyer power significant, and favourable investment conditions encourage new entrants. The threat of </w:t>
      </w:r>
      <w:r w:rsidR="006A152A" w:rsidRPr="008441F4">
        <w:rPr>
          <w:rFonts w:cs="Arial"/>
        </w:rPr>
        <w:lastRenderedPageBreak/>
        <w:t>substitutes is the strongest constraint, because executive health assessments and increasingly sophisticated wearables satisfy the same underlying need. Neko's success will therefore depend on demonstrating value beyond these alternatives, and a greenfield subsidiary supports this by preserving the integrated model and enabling a distinct clinical position.</w:t>
      </w:r>
    </w:p>
    <w:p w14:paraId="67907B43" w14:textId="6E054FCC" w:rsidR="004C3EA0" w:rsidRPr="008441F4" w:rsidRDefault="004C3EA0" w:rsidP="0067119A">
      <w:pPr>
        <w:pStyle w:val="Heading1"/>
        <w:numPr>
          <w:ilvl w:val="0"/>
          <w:numId w:val="18"/>
        </w:numPr>
        <w:rPr>
          <w:rFonts w:cs="Arial"/>
        </w:rPr>
      </w:pPr>
      <w:bookmarkStart w:id="18" w:name="justification-of-the-entry-strategy"/>
      <w:bookmarkStart w:id="19" w:name="_Toc237314141"/>
      <w:r w:rsidRPr="008441F4">
        <w:rPr>
          <w:rFonts w:cs="Arial"/>
        </w:rPr>
        <w:t xml:space="preserve">Entry </w:t>
      </w:r>
      <w:bookmarkEnd w:id="18"/>
      <w:r w:rsidR="000B2CD2" w:rsidRPr="008441F4">
        <w:rPr>
          <w:rFonts w:cs="Arial"/>
        </w:rPr>
        <w:t>Mode Selection</w:t>
      </w:r>
      <w:bookmarkEnd w:id="19"/>
    </w:p>
    <w:p w14:paraId="098EDF72" w14:textId="77777777" w:rsidR="005F0F47" w:rsidRPr="008441F4" w:rsidRDefault="005F0F47" w:rsidP="002B2B31">
      <w:pPr>
        <w:pStyle w:val="NormalWeb"/>
        <w:spacing w:line="276" w:lineRule="auto"/>
        <w:rPr>
          <w:rFonts w:cs="Arial"/>
        </w:rPr>
      </w:pPr>
      <w:r w:rsidRPr="008441F4">
        <w:rPr>
          <w:rFonts w:cs="Arial"/>
        </w:rPr>
        <w:t>Neko-Health’s i</w:t>
      </w:r>
      <w:r w:rsidR="00340310" w:rsidRPr="008441F4">
        <w:rPr>
          <w:rFonts w:cs="Arial"/>
        </w:rPr>
        <w:t>nternationalisation ecosystem has been built from mature market penetration in UK since 2023, by careful consideration from section 2 &amp;</w:t>
      </w:r>
      <w:r w:rsidRPr="008441F4">
        <w:rPr>
          <w:rFonts w:cs="Arial"/>
        </w:rPr>
        <w:t xml:space="preserve"> </w:t>
      </w:r>
      <w:r w:rsidR="00340310" w:rsidRPr="008441F4">
        <w:rPr>
          <w:rFonts w:cs="Arial"/>
        </w:rPr>
        <w:t>3</w:t>
      </w:r>
      <w:r w:rsidRPr="008441F4">
        <w:rPr>
          <w:rFonts w:cs="Arial"/>
        </w:rPr>
        <w:t xml:space="preserve"> </w:t>
      </w:r>
      <w:r w:rsidR="000B2CD2" w:rsidRPr="008441F4">
        <w:rPr>
          <w:rFonts w:cs="Arial"/>
        </w:rPr>
        <w:t xml:space="preserve">a </w:t>
      </w:r>
      <w:r w:rsidR="000B2CD2" w:rsidRPr="008441F4">
        <w:rPr>
          <w:rFonts w:cs="Arial"/>
          <w:b/>
          <w:bCs/>
        </w:rPr>
        <w:t>wholly owned greenfield subsidiary</w:t>
      </w:r>
      <w:r w:rsidRPr="008441F4">
        <w:rPr>
          <w:rFonts w:cs="Arial"/>
          <w:b/>
          <w:bCs/>
        </w:rPr>
        <w:t xml:space="preserve"> </w:t>
      </w:r>
      <w:r w:rsidRPr="008441F4">
        <w:rPr>
          <w:rFonts w:cs="Arial"/>
        </w:rPr>
        <w:t>offers best control, commitment and speed of entry</w:t>
      </w:r>
      <w:r w:rsidR="000B2CD2" w:rsidRPr="008441F4">
        <w:rPr>
          <w:rFonts w:cs="Arial"/>
        </w:rPr>
        <w:t xml:space="preserve"> </w:t>
      </w:r>
      <w:r w:rsidRPr="008441F4">
        <w:rPr>
          <w:rFonts w:cs="Arial"/>
        </w:rPr>
        <w:t>from</w:t>
      </w:r>
      <w:r w:rsidR="005A1599" w:rsidRPr="008441F4">
        <w:rPr>
          <w:rFonts w:cs="Arial"/>
        </w:rPr>
        <w:t xml:space="preserve"> free zones</w:t>
      </w:r>
      <w:r w:rsidRPr="008441F4">
        <w:rPr>
          <w:rFonts w:cs="Arial"/>
        </w:rPr>
        <w:t xml:space="preserve"> entry</w:t>
      </w:r>
      <w:r w:rsidR="005A1599" w:rsidRPr="008441F4">
        <w:rPr>
          <w:rFonts w:cs="Arial"/>
        </w:rPr>
        <w:t xml:space="preserve"> under Dubai Healthcare City (DHCC)</w:t>
      </w:r>
      <w:r w:rsidRPr="008441F4">
        <w:rPr>
          <w:rFonts w:cs="Arial"/>
        </w:rPr>
        <w:t xml:space="preserve"> regulation</w:t>
      </w:r>
      <w:r w:rsidR="005A1599" w:rsidRPr="008441F4">
        <w:rPr>
          <w:rFonts w:cs="Arial"/>
        </w:rPr>
        <w:t>.</w:t>
      </w:r>
      <w:r w:rsidR="000B2CD2" w:rsidRPr="008441F4">
        <w:rPr>
          <w:rFonts w:cs="Arial"/>
        </w:rPr>
        <w:t xml:space="preserve"> </w:t>
      </w:r>
    </w:p>
    <w:p w14:paraId="3CC0242A" w14:textId="59F44A77" w:rsidR="005F0F47" w:rsidRPr="008441F4" w:rsidRDefault="005F0F47" w:rsidP="002B2B31">
      <w:pPr>
        <w:pStyle w:val="NormalWeb"/>
        <w:spacing w:line="276" w:lineRule="auto"/>
        <w:rPr>
          <w:rFonts w:cs="Arial"/>
        </w:rPr>
      </w:pPr>
      <w:r w:rsidRPr="008441F4">
        <w:rPr>
          <w:rFonts w:cs="Arial"/>
          <w:b/>
          <w:bCs/>
        </w:rPr>
        <w:t>Control: High</w:t>
      </w:r>
      <w:r w:rsidRPr="008441F4">
        <w:rPr>
          <w:rFonts w:cs="Arial"/>
        </w:rPr>
        <w:t xml:space="preserve"> [Building through foundation gives the whole </w:t>
      </w:r>
      <w:r w:rsidR="0076464E" w:rsidRPr="008441F4">
        <w:rPr>
          <w:rFonts w:cs="Arial"/>
        </w:rPr>
        <w:t>proprietary</w:t>
      </w:r>
      <w:r w:rsidRPr="008441F4">
        <w:rPr>
          <w:rFonts w:cs="Arial"/>
        </w:rPr>
        <w:t xml:space="preserve"> control </w:t>
      </w:r>
      <w:r w:rsidRPr="008441F4">
        <w:rPr>
          <w:rFonts w:cs="Arial"/>
          <w:i/>
          <w:iCs/>
        </w:rPr>
        <w:t>Reason 1 &amp;2]</w:t>
      </w:r>
    </w:p>
    <w:p w14:paraId="3478A25A" w14:textId="60FA4366" w:rsidR="005F0F47" w:rsidRPr="008441F4" w:rsidRDefault="005F0F47" w:rsidP="002B2B31">
      <w:pPr>
        <w:pStyle w:val="NormalWeb"/>
        <w:spacing w:line="276" w:lineRule="auto"/>
        <w:rPr>
          <w:rFonts w:cs="Arial"/>
        </w:rPr>
      </w:pPr>
      <w:r w:rsidRPr="008441F4">
        <w:rPr>
          <w:rFonts w:cs="Arial"/>
          <w:b/>
          <w:bCs/>
        </w:rPr>
        <w:t>Level of commitment: High</w:t>
      </w:r>
      <w:r w:rsidRPr="008441F4">
        <w:rPr>
          <w:rFonts w:cs="Arial"/>
        </w:rPr>
        <w:t xml:space="preserve"> [Company </w:t>
      </w:r>
      <w:r w:rsidR="0076464E" w:rsidRPr="008441F4">
        <w:rPr>
          <w:rFonts w:cs="Arial"/>
        </w:rPr>
        <w:t>must</w:t>
      </w:r>
      <w:r w:rsidRPr="008441F4">
        <w:rPr>
          <w:rFonts w:cs="Arial"/>
        </w:rPr>
        <w:t xml:space="preserve"> go through different structural speci</w:t>
      </w:r>
      <w:r w:rsidR="0027436A">
        <w:rPr>
          <w:rFonts w:cs="Arial"/>
        </w:rPr>
        <w:t>fications</w:t>
      </w:r>
      <w:r w:rsidRPr="008441F4">
        <w:rPr>
          <w:rFonts w:cs="Arial"/>
        </w:rPr>
        <w:t xml:space="preserve"> that likely </w:t>
      </w:r>
      <w:r w:rsidR="0027436A">
        <w:rPr>
          <w:rFonts w:cs="Arial"/>
        </w:rPr>
        <w:t>a</w:t>
      </w:r>
      <w:r w:rsidRPr="008441F4">
        <w:rPr>
          <w:rFonts w:cs="Arial"/>
        </w:rPr>
        <w:t xml:space="preserve">ffect </w:t>
      </w:r>
      <w:r w:rsidR="0027436A">
        <w:rPr>
          <w:rFonts w:cs="Arial"/>
        </w:rPr>
        <w:t>the</w:t>
      </w:r>
      <w:r w:rsidRPr="008441F4">
        <w:rPr>
          <w:rFonts w:cs="Arial"/>
        </w:rPr>
        <w:t xml:space="preserve"> speed of entry]</w:t>
      </w:r>
    </w:p>
    <w:p w14:paraId="33045978" w14:textId="4525FD1B" w:rsidR="005F0F47" w:rsidRPr="008441F4" w:rsidRDefault="005F0F47" w:rsidP="002B2B31">
      <w:pPr>
        <w:pStyle w:val="NormalWeb"/>
        <w:spacing w:line="276" w:lineRule="auto"/>
        <w:rPr>
          <w:rFonts w:cs="Arial"/>
        </w:rPr>
      </w:pPr>
      <w:r w:rsidRPr="008441F4">
        <w:rPr>
          <w:rFonts w:cs="Arial"/>
          <w:b/>
          <w:bCs/>
        </w:rPr>
        <w:t>Speed of Entry: Low</w:t>
      </w:r>
      <w:r w:rsidRPr="008441F4">
        <w:rPr>
          <w:rFonts w:cs="Arial"/>
        </w:rPr>
        <w:t xml:space="preserve"> [</w:t>
      </w:r>
      <w:r w:rsidR="0076464E" w:rsidRPr="008441F4">
        <w:rPr>
          <w:rFonts w:cs="Arial"/>
        </w:rPr>
        <w:t xml:space="preserve">Trade-off for the greenfield subsidiary will be slow </w:t>
      </w:r>
      <w:r w:rsidR="005C5F3F" w:rsidRPr="008441F4">
        <w:rPr>
          <w:rFonts w:cs="Arial"/>
        </w:rPr>
        <w:t>market-</w:t>
      </w:r>
      <w:r w:rsidR="0076464E" w:rsidRPr="008441F4">
        <w:rPr>
          <w:rFonts w:cs="Arial"/>
        </w:rPr>
        <w:t>entry]</w:t>
      </w:r>
    </w:p>
    <w:p w14:paraId="28353246" w14:textId="77777777" w:rsidR="0076464E" w:rsidRPr="008441F4" w:rsidRDefault="0076464E" w:rsidP="002B2B31">
      <w:pPr>
        <w:pStyle w:val="NormalWeb"/>
        <w:spacing w:line="276" w:lineRule="auto"/>
        <w:rPr>
          <w:rFonts w:cs="Arial"/>
        </w:rPr>
      </w:pPr>
    </w:p>
    <w:p w14:paraId="014AAF8C" w14:textId="7623CD4F" w:rsidR="002B2B31" w:rsidRPr="008441F4" w:rsidRDefault="000B2CD2" w:rsidP="002B2B31">
      <w:pPr>
        <w:pStyle w:val="NormalWeb"/>
        <w:spacing w:line="276" w:lineRule="auto"/>
        <w:rPr>
          <w:rFonts w:cs="Arial"/>
        </w:rPr>
      </w:pPr>
      <w:r w:rsidRPr="008441F4">
        <w:rPr>
          <w:rFonts w:cs="Arial"/>
        </w:rPr>
        <w:t xml:space="preserve">Four major reasons </w:t>
      </w:r>
      <w:r w:rsidR="0076464E" w:rsidRPr="008441F4">
        <w:rPr>
          <w:rFonts w:cs="Arial"/>
        </w:rPr>
        <w:t xml:space="preserve">behind selected entry mode </w:t>
      </w:r>
      <w:r w:rsidRPr="008441F4">
        <w:rPr>
          <w:rFonts w:cs="Arial"/>
        </w:rPr>
        <w:t>are as follows:</w:t>
      </w:r>
    </w:p>
    <w:p w14:paraId="2BCFCB23" w14:textId="5000C65D" w:rsidR="002B2B31" w:rsidRPr="008441F4" w:rsidRDefault="002B2B31" w:rsidP="002B2B31">
      <w:pPr>
        <w:pStyle w:val="Heading2"/>
        <w:rPr>
          <w:rFonts w:cs="Arial"/>
        </w:rPr>
      </w:pPr>
      <w:bookmarkStart w:id="20" w:name="_Toc237314142"/>
      <w:r w:rsidRPr="008441F4">
        <w:rPr>
          <w:rFonts w:cs="Arial"/>
        </w:rPr>
        <w:t xml:space="preserve">Reason 1: Protecting Proprietary Technology </w:t>
      </w:r>
      <w:r w:rsidR="00EB2EC8" w:rsidRPr="008441F4">
        <w:rPr>
          <w:rFonts w:cs="Arial"/>
        </w:rPr>
        <w:t xml:space="preserve">&amp; </w:t>
      </w:r>
      <w:r w:rsidRPr="008441F4">
        <w:rPr>
          <w:rFonts w:cs="Arial"/>
        </w:rPr>
        <w:t>Firm-Specific Knowledge</w:t>
      </w:r>
      <w:bookmarkEnd w:id="20"/>
    </w:p>
    <w:p w14:paraId="5DB0BA38" w14:textId="77777777" w:rsidR="002B2B31" w:rsidRPr="008441F4" w:rsidRDefault="002B2B31" w:rsidP="002B2B31">
      <w:pPr>
        <w:pStyle w:val="NormalWeb"/>
        <w:spacing w:line="276" w:lineRule="auto"/>
        <w:rPr>
          <w:rFonts w:cs="Arial"/>
        </w:rPr>
      </w:pPr>
      <w:r w:rsidRPr="008441F4">
        <w:rPr>
          <w:rFonts w:cs="Arial"/>
        </w:rPr>
        <w:t>Neko's competitive advantage is embedded in highly specialised, firm-specific assets: its proprietary Derma, Echo and Spectrum diagnostic systems, integrated software architecture and tightly controlled clinical experience (Fierce Healthcare, 2026). These carry high tacit knowledge and asset specificity, making them difficult to codify, transfer or monitor contractually. Anderson and Gatignon (1986) show high asset specificity increases opportunism risk under low-control modes, while Brouthers (2002) finds firms with valuable firm-specific assets favour high-control modes to protect advantage. A wholly owned subsidiary therefore retains control over technology, data and process while reducing intellectual property leakage and quality dilution.</w:t>
      </w:r>
    </w:p>
    <w:p w14:paraId="5FE4D6E3" w14:textId="12F0651B" w:rsidR="002B2B31" w:rsidRPr="008441F4" w:rsidRDefault="002B2B31" w:rsidP="002B2B31">
      <w:pPr>
        <w:pStyle w:val="Heading2"/>
        <w:rPr>
          <w:rFonts w:cs="Arial"/>
        </w:rPr>
      </w:pPr>
      <w:bookmarkStart w:id="21" w:name="_Toc237314143"/>
      <w:r w:rsidRPr="008441F4">
        <w:rPr>
          <w:rFonts w:cs="Arial"/>
        </w:rPr>
        <w:t>Reason 2: Maximising Operational Control and Service Consistency</w:t>
      </w:r>
      <w:bookmarkEnd w:id="21"/>
    </w:p>
    <w:p w14:paraId="6914B135" w14:textId="77777777" w:rsidR="002B2B31" w:rsidRPr="008441F4" w:rsidRDefault="002B2B31" w:rsidP="002B2B31">
      <w:pPr>
        <w:pStyle w:val="NormalWeb"/>
        <w:spacing w:line="276" w:lineRule="auto"/>
        <w:rPr>
          <w:rFonts w:cs="Arial"/>
        </w:rPr>
      </w:pPr>
      <w:r w:rsidRPr="008441F4">
        <w:rPr>
          <w:rFonts w:cs="Arial"/>
        </w:rPr>
        <w:t xml:space="preserve">Neko's value proposition rests not only on technology but on integrating diagnostics, software and patient experience into a single model. Consistency </w:t>
      </w:r>
      <w:r w:rsidRPr="008441F4">
        <w:rPr>
          <w:rFonts w:cs="Arial"/>
        </w:rPr>
        <w:lastRenderedPageBreak/>
        <w:t>matters because the service is delivered through a standardised clinical process rather than a product. A wholly owned subsidiary allows Neko to control clinical protocols, staffing and customer experience without external interference — particularly important in healthcare, where deviations in service quality undermine both patient trust and brand credibility.</w:t>
      </w:r>
    </w:p>
    <w:p w14:paraId="59DF29ED" w14:textId="64F0E858" w:rsidR="002B2B31" w:rsidRPr="008441F4" w:rsidRDefault="002B2B31" w:rsidP="002B2B31">
      <w:pPr>
        <w:pStyle w:val="Heading2"/>
        <w:rPr>
          <w:rFonts w:cs="Arial"/>
        </w:rPr>
      </w:pPr>
      <w:bookmarkStart w:id="22" w:name="_Toc237314144"/>
      <w:r w:rsidRPr="008441F4">
        <w:rPr>
          <w:rFonts w:cs="Arial"/>
        </w:rPr>
        <w:t>Reason 3: Leveraging UAE Institutional Conditions</w:t>
      </w:r>
      <w:bookmarkEnd w:id="22"/>
    </w:p>
    <w:p w14:paraId="6158439C" w14:textId="77777777" w:rsidR="002B2B31" w:rsidRPr="008441F4" w:rsidRDefault="002B2B31" w:rsidP="002B2B31">
      <w:pPr>
        <w:pStyle w:val="NormalWeb"/>
        <w:spacing w:line="276" w:lineRule="auto"/>
        <w:rPr>
          <w:rFonts w:cs="Arial"/>
        </w:rPr>
      </w:pPr>
      <w:r w:rsidRPr="008441F4">
        <w:rPr>
          <w:rFonts w:cs="Arial"/>
        </w:rPr>
        <w:t xml:space="preserve">The UAE institutional environment strengthens the attractiveness of a greenfield strategy. Within DHCC, foreign healthcare firms are permitted to establish </w:t>
      </w:r>
      <w:proofErr w:type="gramStart"/>
      <w:r w:rsidRPr="008441F4">
        <w:rPr>
          <w:rFonts w:cs="Arial"/>
        </w:rPr>
        <w:t>wholly-owned</w:t>
      </w:r>
      <w:proofErr w:type="gramEnd"/>
      <w:r w:rsidRPr="008441F4">
        <w:rPr>
          <w:rFonts w:cs="Arial"/>
        </w:rPr>
        <w:t xml:space="preserve"> operations with no requirement for a local sponsor or majority domestic partner, while benefiting from a purpose-built healthcare ecosystem and a long-term tax framework (Kayrouz &amp; Associates, 2026; </w:t>
      </w:r>
      <w:proofErr w:type="spellStart"/>
      <w:r w:rsidRPr="008441F4">
        <w:rPr>
          <w:rFonts w:cs="Arial"/>
        </w:rPr>
        <w:t>Neelim</w:t>
      </w:r>
      <w:proofErr w:type="spellEnd"/>
      <w:r w:rsidRPr="008441F4">
        <w:rPr>
          <w:rFonts w:cs="Arial"/>
        </w:rPr>
        <w:t xml:space="preserve"> Healthcare Consulting, 2026). As a result, Neko can secure the benefits of full ownership without facing the institutional constraints that frequently encourage foreign firms to pursue joint ventures in other markets.</w:t>
      </w:r>
    </w:p>
    <w:p w14:paraId="1226A1B3" w14:textId="77777777" w:rsidR="002B2B31" w:rsidRPr="008441F4" w:rsidRDefault="002B2B31" w:rsidP="002B2B31">
      <w:pPr>
        <w:pStyle w:val="NormalWeb"/>
        <w:spacing w:line="276" w:lineRule="auto"/>
        <w:rPr>
          <w:rFonts w:cs="Arial"/>
        </w:rPr>
      </w:pPr>
      <w:r w:rsidRPr="008441F4">
        <w:rPr>
          <w:rFonts w:cs="Arial"/>
        </w:rPr>
        <w:t xml:space="preserve">The decision is also supported by Dunning's Eclectic Paradigm. Neko possesses strong ownership advantages through its proprietary technology and vertically integrated business model, while the UAE offers location advantages in the form of a rapidly expanding preventive-health market, strong healthcare investment, and government support for longevity medicine. Given the importance of protecting and exploiting these ownership advantages internally, the internalisation component of the OLI framework supports </w:t>
      </w:r>
      <w:proofErr w:type="gramStart"/>
      <w:r w:rsidRPr="008441F4">
        <w:rPr>
          <w:rFonts w:cs="Arial"/>
        </w:rPr>
        <w:t>wholly-owned</w:t>
      </w:r>
      <w:proofErr w:type="gramEnd"/>
      <w:r w:rsidRPr="008441F4">
        <w:rPr>
          <w:rFonts w:cs="Arial"/>
        </w:rPr>
        <w:t xml:space="preserve"> investment rather than licensing or other contractual arrangements (Dunning, 2000).</w:t>
      </w:r>
    </w:p>
    <w:p w14:paraId="6F160453" w14:textId="1842D14A" w:rsidR="002B2B31" w:rsidRPr="008441F4" w:rsidRDefault="000B2CD2" w:rsidP="000B2CD2">
      <w:pPr>
        <w:pStyle w:val="Heading2"/>
        <w:rPr>
          <w:rFonts w:cs="Arial"/>
        </w:rPr>
      </w:pPr>
      <w:bookmarkStart w:id="23" w:name="_Toc237314145"/>
      <w:r w:rsidRPr="008441F4">
        <w:rPr>
          <w:rFonts w:cs="Arial"/>
        </w:rPr>
        <w:t xml:space="preserve">Reason 4: </w:t>
      </w:r>
      <w:r w:rsidR="002B2B31" w:rsidRPr="008441F4">
        <w:rPr>
          <w:rFonts w:cs="Arial"/>
        </w:rPr>
        <w:t>Replicating Neko's Existing Business Model</w:t>
      </w:r>
      <w:bookmarkEnd w:id="23"/>
    </w:p>
    <w:p w14:paraId="3AB0DC1D" w14:textId="77777777" w:rsidR="002B2B31" w:rsidRPr="008441F4" w:rsidRDefault="002B2B31" w:rsidP="002B2B31">
      <w:pPr>
        <w:pStyle w:val="NormalWeb"/>
        <w:spacing w:line="276" w:lineRule="auto"/>
        <w:rPr>
          <w:rFonts w:cs="Arial"/>
        </w:rPr>
      </w:pPr>
      <w:r w:rsidRPr="008441F4">
        <w:rPr>
          <w:rFonts w:cs="Arial"/>
        </w:rPr>
        <w:t>A greenfield investment is also preferable because Neko's operating model was developed around purpose-built facilities and self-engineered diagnostic systems. Existing healthcare facilities in the UAE were not designed around Neko's integrated approach. Building a new operation allows the company to replicate its existing model faithfully and avoid the organisational complexity associated with adapting inherited facilities, systems, and processes. Furthermore, greenfield development preserves the data continuity and operational standardisation that underpin the long-term value of Neko's healthcare platform (</w:t>
      </w:r>
      <w:proofErr w:type="spellStart"/>
      <w:r w:rsidRPr="008441F4">
        <w:rPr>
          <w:rFonts w:cs="Arial"/>
        </w:rPr>
        <w:t>Brouthers</w:t>
      </w:r>
      <w:proofErr w:type="spellEnd"/>
      <w:r w:rsidRPr="008441F4">
        <w:rPr>
          <w:rFonts w:cs="Arial"/>
        </w:rPr>
        <w:t>, 2002).</w:t>
      </w:r>
    </w:p>
    <w:p w14:paraId="6272FE1F" w14:textId="5044E84C" w:rsidR="000B2CD2" w:rsidRPr="008441F4" w:rsidRDefault="000B2CD2" w:rsidP="000B2CD2">
      <w:pPr>
        <w:pStyle w:val="Caption"/>
        <w:jc w:val="left"/>
        <w:rPr>
          <w:rFonts w:cs="Arial"/>
        </w:rPr>
      </w:pPr>
    </w:p>
    <w:tbl>
      <w:tblPr>
        <w:tblStyle w:val="PlainTable3"/>
        <w:tblW w:w="5000" w:type="pct"/>
        <w:tblLook w:val="04A0" w:firstRow="1" w:lastRow="0" w:firstColumn="1" w:lastColumn="0" w:noHBand="0" w:noVBand="1"/>
      </w:tblPr>
      <w:tblGrid>
        <w:gridCol w:w="1883"/>
        <w:gridCol w:w="6389"/>
      </w:tblGrid>
      <w:tr w:rsidR="002B2B31" w:rsidRPr="008441F4" w14:paraId="21AF1F9B" w14:textId="77777777" w:rsidTr="000B2C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23" w:type="pct"/>
            <w:hideMark/>
          </w:tcPr>
          <w:p w14:paraId="47F56738" w14:textId="77777777" w:rsidR="002B2B31" w:rsidRPr="008441F4" w:rsidRDefault="002B2B31" w:rsidP="000B2CD2">
            <w:pPr>
              <w:spacing w:line="276" w:lineRule="auto"/>
              <w:jc w:val="center"/>
              <w:rPr>
                <w:rFonts w:cs="Arial"/>
              </w:rPr>
            </w:pPr>
            <w:r w:rsidRPr="008441F4">
              <w:rPr>
                <w:rFonts w:cs="Arial"/>
                <w:b w:val="0"/>
                <w:bCs w:val="0"/>
              </w:rPr>
              <w:t>Entry Mode</w:t>
            </w:r>
          </w:p>
        </w:tc>
        <w:tc>
          <w:tcPr>
            <w:tcW w:w="4122" w:type="pct"/>
            <w:hideMark/>
          </w:tcPr>
          <w:p w14:paraId="2C85BCF7" w14:textId="77777777" w:rsidR="002B2B31" w:rsidRPr="008441F4" w:rsidRDefault="002B2B31" w:rsidP="000B2CD2">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rPr>
            </w:pPr>
            <w:r w:rsidRPr="008441F4">
              <w:rPr>
                <w:rFonts w:cs="Arial"/>
                <w:b w:val="0"/>
                <w:bCs w:val="0"/>
              </w:rPr>
              <w:t>Limitation for Neko Health</w:t>
            </w:r>
          </w:p>
        </w:tc>
      </w:tr>
      <w:tr w:rsidR="002B2B31" w:rsidRPr="008441F4" w14:paraId="3BC3707C" w14:textId="77777777" w:rsidTr="000B2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3" w:type="pct"/>
            <w:hideMark/>
          </w:tcPr>
          <w:p w14:paraId="565C48E9" w14:textId="77777777" w:rsidR="002B2B31" w:rsidRPr="008441F4" w:rsidRDefault="002B2B31" w:rsidP="000B2CD2">
            <w:pPr>
              <w:spacing w:line="276" w:lineRule="auto"/>
              <w:jc w:val="left"/>
              <w:rPr>
                <w:rFonts w:cs="Arial"/>
                <w:b w:val="0"/>
                <w:bCs w:val="0"/>
              </w:rPr>
            </w:pPr>
            <w:r w:rsidRPr="008441F4">
              <w:rPr>
                <w:rFonts w:cs="Arial"/>
              </w:rPr>
              <w:t>Exporting</w:t>
            </w:r>
          </w:p>
        </w:tc>
        <w:tc>
          <w:tcPr>
            <w:tcW w:w="4122" w:type="pct"/>
            <w:hideMark/>
          </w:tcPr>
          <w:p w14:paraId="2D65F70D" w14:textId="77777777" w:rsidR="002B2B31" w:rsidRPr="008441F4" w:rsidRDefault="002B2B31" w:rsidP="000B2CD2">
            <w:pPr>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8441F4">
              <w:rPr>
                <w:rFonts w:cs="Arial"/>
              </w:rPr>
              <w:t>Not feasible because Neko's service requires physical healthcare facilities and in-person diagnostic delivery.</w:t>
            </w:r>
          </w:p>
        </w:tc>
      </w:tr>
      <w:tr w:rsidR="002B2B31" w:rsidRPr="008441F4" w14:paraId="46C6E2F6" w14:textId="77777777" w:rsidTr="000B2CD2">
        <w:tc>
          <w:tcPr>
            <w:cnfStyle w:val="001000000000" w:firstRow="0" w:lastRow="0" w:firstColumn="1" w:lastColumn="0" w:oddVBand="0" w:evenVBand="0" w:oddHBand="0" w:evenHBand="0" w:firstRowFirstColumn="0" w:firstRowLastColumn="0" w:lastRowFirstColumn="0" w:lastRowLastColumn="0"/>
            <w:tcW w:w="823" w:type="pct"/>
            <w:hideMark/>
          </w:tcPr>
          <w:p w14:paraId="53BF18D1" w14:textId="77777777" w:rsidR="002B2B31" w:rsidRPr="008441F4" w:rsidRDefault="002B2B31" w:rsidP="000B2CD2">
            <w:pPr>
              <w:spacing w:line="276" w:lineRule="auto"/>
              <w:rPr>
                <w:rFonts w:cs="Arial"/>
              </w:rPr>
            </w:pPr>
            <w:r w:rsidRPr="008441F4">
              <w:rPr>
                <w:rFonts w:cs="Arial"/>
              </w:rPr>
              <w:lastRenderedPageBreak/>
              <w:t>Licensing</w:t>
            </w:r>
          </w:p>
        </w:tc>
        <w:tc>
          <w:tcPr>
            <w:tcW w:w="4122" w:type="pct"/>
            <w:hideMark/>
          </w:tcPr>
          <w:p w14:paraId="6527E69C" w14:textId="77777777" w:rsidR="002B2B31" w:rsidRPr="008441F4" w:rsidRDefault="002B2B31" w:rsidP="000B2CD2">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8441F4">
              <w:rPr>
                <w:rFonts w:cs="Arial"/>
              </w:rPr>
              <w:t xml:space="preserve">Would expose proprietary technology, operational knowledge and brand assets to imitation while reducing control over service quality (Anderson &amp; </w:t>
            </w:r>
            <w:proofErr w:type="spellStart"/>
            <w:r w:rsidRPr="008441F4">
              <w:rPr>
                <w:rFonts w:cs="Arial"/>
              </w:rPr>
              <w:t>Gatignon</w:t>
            </w:r>
            <w:proofErr w:type="spellEnd"/>
            <w:r w:rsidRPr="008441F4">
              <w:rPr>
                <w:rFonts w:cs="Arial"/>
              </w:rPr>
              <w:t>, 1986).</w:t>
            </w:r>
          </w:p>
        </w:tc>
      </w:tr>
      <w:tr w:rsidR="002B2B31" w:rsidRPr="008441F4" w14:paraId="78E915BB" w14:textId="77777777" w:rsidTr="000B2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3" w:type="pct"/>
            <w:hideMark/>
          </w:tcPr>
          <w:p w14:paraId="56FDCD9C" w14:textId="77777777" w:rsidR="002B2B31" w:rsidRPr="008441F4" w:rsidRDefault="002B2B31" w:rsidP="000B2CD2">
            <w:pPr>
              <w:spacing w:line="276" w:lineRule="auto"/>
              <w:rPr>
                <w:rFonts w:cs="Arial"/>
              </w:rPr>
            </w:pPr>
            <w:r w:rsidRPr="008441F4">
              <w:rPr>
                <w:rFonts w:cs="Arial"/>
              </w:rPr>
              <w:t>Franchising</w:t>
            </w:r>
          </w:p>
        </w:tc>
        <w:tc>
          <w:tcPr>
            <w:tcW w:w="4122" w:type="pct"/>
            <w:hideMark/>
          </w:tcPr>
          <w:p w14:paraId="61C5B622" w14:textId="77777777" w:rsidR="002B2B31" w:rsidRPr="008441F4" w:rsidRDefault="002B2B31" w:rsidP="000B2CD2">
            <w:pPr>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8441F4">
              <w:rPr>
                <w:rFonts w:cs="Arial"/>
              </w:rPr>
              <w:t>Provides faster expansion but risks inconsistency in clinical delivery and customer experience, undermining Neko's integrated healthcare model.</w:t>
            </w:r>
          </w:p>
        </w:tc>
      </w:tr>
      <w:tr w:rsidR="002B2B31" w:rsidRPr="008441F4" w14:paraId="5FD3038F" w14:textId="77777777" w:rsidTr="000B2CD2">
        <w:tc>
          <w:tcPr>
            <w:cnfStyle w:val="001000000000" w:firstRow="0" w:lastRow="0" w:firstColumn="1" w:lastColumn="0" w:oddVBand="0" w:evenVBand="0" w:oddHBand="0" w:evenHBand="0" w:firstRowFirstColumn="0" w:firstRowLastColumn="0" w:lastRowFirstColumn="0" w:lastRowLastColumn="0"/>
            <w:tcW w:w="823" w:type="pct"/>
            <w:hideMark/>
          </w:tcPr>
          <w:p w14:paraId="20F3AFE8" w14:textId="77777777" w:rsidR="002B2B31" w:rsidRPr="008441F4" w:rsidRDefault="002B2B31" w:rsidP="000B2CD2">
            <w:pPr>
              <w:spacing w:line="276" w:lineRule="auto"/>
              <w:rPr>
                <w:rFonts w:cs="Arial"/>
              </w:rPr>
            </w:pPr>
            <w:r w:rsidRPr="008441F4">
              <w:rPr>
                <w:rFonts w:cs="Arial"/>
              </w:rPr>
              <w:t>Joint Venture</w:t>
            </w:r>
          </w:p>
        </w:tc>
        <w:tc>
          <w:tcPr>
            <w:tcW w:w="4122" w:type="pct"/>
            <w:hideMark/>
          </w:tcPr>
          <w:p w14:paraId="3FB00C42" w14:textId="77777777" w:rsidR="002B2B31" w:rsidRPr="008441F4" w:rsidRDefault="002B2B31" w:rsidP="000B2CD2">
            <w:pPr>
              <w:spacing w:line="276" w:lineRule="auto"/>
              <w:cnfStyle w:val="000000000000" w:firstRow="0" w:lastRow="0" w:firstColumn="0" w:lastColumn="0" w:oddVBand="0" w:evenVBand="0" w:oddHBand="0" w:evenHBand="0" w:firstRowFirstColumn="0" w:firstRowLastColumn="0" w:lastRowFirstColumn="0" w:lastRowLastColumn="0"/>
              <w:rPr>
                <w:rFonts w:cs="Arial"/>
              </w:rPr>
            </w:pPr>
            <w:r w:rsidRPr="008441F4">
              <w:rPr>
                <w:rFonts w:cs="Arial"/>
              </w:rPr>
              <w:t>Local participation is not required within DHCC, making shared ownership unnecessary while increasing the risk of strategic conflict and knowledge leakage.</w:t>
            </w:r>
          </w:p>
        </w:tc>
      </w:tr>
      <w:tr w:rsidR="002B2B31" w:rsidRPr="008441F4" w14:paraId="6131F875" w14:textId="77777777" w:rsidTr="000B2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3" w:type="pct"/>
            <w:hideMark/>
          </w:tcPr>
          <w:p w14:paraId="3D3C7F02" w14:textId="77777777" w:rsidR="002B2B31" w:rsidRPr="008441F4" w:rsidRDefault="002B2B31" w:rsidP="000B2CD2">
            <w:pPr>
              <w:spacing w:line="276" w:lineRule="auto"/>
              <w:rPr>
                <w:rFonts w:cs="Arial"/>
              </w:rPr>
            </w:pPr>
            <w:r w:rsidRPr="008441F4">
              <w:rPr>
                <w:rFonts w:cs="Arial"/>
              </w:rPr>
              <w:t>Acquisition</w:t>
            </w:r>
          </w:p>
        </w:tc>
        <w:tc>
          <w:tcPr>
            <w:tcW w:w="4122" w:type="pct"/>
            <w:hideMark/>
          </w:tcPr>
          <w:p w14:paraId="54E14572" w14:textId="77777777" w:rsidR="002B2B31" w:rsidRPr="008441F4" w:rsidRDefault="002B2B31" w:rsidP="000B2CD2">
            <w:pPr>
              <w:keepNext/>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8441F4">
              <w:rPr>
                <w:rFonts w:cs="Arial"/>
              </w:rPr>
              <w:t>Existing facilities are unlikely to align with Neko's proprietary technology and clinic design, creating potentially costly integration challenges (</w:t>
            </w:r>
            <w:proofErr w:type="spellStart"/>
            <w:r w:rsidRPr="008441F4">
              <w:rPr>
                <w:rFonts w:cs="Arial"/>
              </w:rPr>
              <w:t>Brouthers</w:t>
            </w:r>
            <w:proofErr w:type="spellEnd"/>
            <w:r w:rsidRPr="008441F4">
              <w:rPr>
                <w:rFonts w:cs="Arial"/>
              </w:rPr>
              <w:t>, 2002).</w:t>
            </w:r>
          </w:p>
        </w:tc>
      </w:tr>
    </w:tbl>
    <w:p w14:paraId="391958F7" w14:textId="2C4BBB92" w:rsidR="000B2CD2" w:rsidRPr="008441F4" w:rsidRDefault="000B2CD2">
      <w:pPr>
        <w:pStyle w:val="Caption"/>
        <w:rPr>
          <w:rFonts w:cs="Arial"/>
        </w:rPr>
      </w:pPr>
      <w:bookmarkStart w:id="24" w:name="_Toc237291753"/>
      <w:r w:rsidRPr="008441F4">
        <w:rPr>
          <w:rFonts w:cs="Arial"/>
        </w:rPr>
        <w:t xml:space="preserve">Table </w:t>
      </w:r>
      <w:r w:rsidRPr="008441F4">
        <w:rPr>
          <w:rFonts w:cs="Arial"/>
        </w:rPr>
        <w:fldChar w:fldCharType="begin"/>
      </w:r>
      <w:r w:rsidRPr="008441F4">
        <w:rPr>
          <w:rFonts w:cs="Arial"/>
        </w:rPr>
        <w:instrText xml:space="preserve"> SEQ Table \* ARABIC </w:instrText>
      </w:r>
      <w:r w:rsidRPr="008441F4">
        <w:rPr>
          <w:rFonts w:cs="Arial"/>
        </w:rPr>
        <w:fldChar w:fldCharType="separate"/>
      </w:r>
      <w:r w:rsidRPr="008441F4">
        <w:rPr>
          <w:rFonts w:cs="Arial"/>
          <w:noProof/>
        </w:rPr>
        <w:t>2</w:t>
      </w:r>
      <w:r w:rsidRPr="008441F4">
        <w:rPr>
          <w:rFonts w:cs="Arial"/>
          <w:noProof/>
        </w:rPr>
        <w:fldChar w:fldCharType="end"/>
      </w:r>
      <w:r w:rsidRPr="008441F4">
        <w:rPr>
          <w:rFonts w:cs="Arial"/>
        </w:rPr>
        <w:t xml:space="preserve"> Evaluation of alternative ways</w:t>
      </w:r>
      <w:bookmarkEnd w:id="24"/>
    </w:p>
    <w:p w14:paraId="27065E9E" w14:textId="77777777" w:rsidR="000B2CD2" w:rsidRPr="008441F4" w:rsidRDefault="000B2CD2" w:rsidP="000B2CD2">
      <w:pPr>
        <w:rPr>
          <w:rFonts w:cs="Arial"/>
        </w:rPr>
      </w:pPr>
    </w:p>
    <w:p w14:paraId="1E5F8342" w14:textId="32FF242F" w:rsidR="004C3EA0" w:rsidRPr="008441F4" w:rsidRDefault="004C3EA0" w:rsidP="0067119A">
      <w:pPr>
        <w:pStyle w:val="Heading1"/>
        <w:numPr>
          <w:ilvl w:val="0"/>
          <w:numId w:val="18"/>
        </w:numPr>
        <w:rPr>
          <w:rFonts w:cs="Arial"/>
        </w:rPr>
      </w:pPr>
      <w:bookmarkStart w:id="25" w:name="_Toc237314146"/>
      <w:r w:rsidRPr="008441F4">
        <w:rPr>
          <w:rFonts w:cs="Arial"/>
          <w:b w:val="0"/>
        </w:rPr>
        <w:t>External Shocks and Mitigation Strategies</w:t>
      </w:r>
      <w:bookmarkEnd w:id="25"/>
    </w:p>
    <w:p w14:paraId="16639BA1" w14:textId="686DB4EA" w:rsidR="004C3EA0" w:rsidRPr="008441F4" w:rsidRDefault="004C3EA0" w:rsidP="002B2B31">
      <w:pPr>
        <w:pStyle w:val="BodyText"/>
        <w:spacing w:line="276" w:lineRule="auto"/>
        <w:rPr>
          <w:rFonts w:ascii="Arial" w:hAnsi="Arial" w:cs="Arial"/>
        </w:rPr>
      </w:pPr>
      <w:r w:rsidRPr="008441F4">
        <w:rPr>
          <w:rFonts w:ascii="Arial" w:hAnsi="Arial" w:cs="Arial"/>
        </w:rPr>
        <w:t xml:space="preserve">Uncertainty is a permanent condition of international operations. </w:t>
      </w:r>
      <w:r w:rsidR="0027436A">
        <w:rPr>
          <w:rFonts w:ascii="Arial" w:hAnsi="Arial" w:cs="Arial"/>
        </w:rPr>
        <w:t>These are the most relevant shocks for Neko-Health with solutions.</w:t>
      </w:r>
    </w:p>
    <w:p w14:paraId="06563F37" w14:textId="62D5CFCB" w:rsidR="004C3EA0" w:rsidRPr="008441F4" w:rsidRDefault="004C3EA0" w:rsidP="0027436A">
      <w:pPr>
        <w:pStyle w:val="BodyText"/>
        <w:numPr>
          <w:ilvl w:val="0"/>
          <w:numId w:val="23"/>
        </w:numPr>
        <w:spacing w:line="276" w:lineRule="auto"/>
        <w:rPr>
          <w:rFonts w:ascii="Arial" w:hAnsi="Arial" w:cs="Arial"/>
        </w:rPr>
      </w:pPr>
      <w:r w:rsidRPr="008441F4">
        <w:rPr>
          <w:rFonts w:ascii="Arial" w:hAnsi="Arial" w:cs="Arial"/>
          <w:b/>
        </w:rPr>
        <w:t xml:space="preserve">Supply chain blockage of </w:t>
      </w:r>
      <w:proofErr w:type="spellStart"/>
      <w:r w:rsidRPr="008441F4">
        <w:rPr>
          <w:rFonts w:ascii="Arial" w:hAnsi="Arial" w:cs="Arial"/>
          <w:b/>
        </w:rPr>
        <w:t>specialised</w:t>
      </w:r>
      <w:proofErr w:type="spellEnd"/>
      <w:r w:rsidRPr="008441F4">
        <w:rPr>
          <w:rFonts w:ascii="Arial" w:hAnsi="Arial" w:cs="Arial"/>
          <w:b/>
        </w:rPr>
        <w:t xml:space="preserve"> components</w:t>
      </w:r>
      <w:r w:rsidR="0027436A">
        <w:rPr>
          <w:rFonts w:ascii="Arial" w:hAnsi="Arial" w:cs="Arial"/>
          <w:b/>
        </w:rPr>
        <w:t>:</w:t>
      </w:r>
      <w:r w:rsidRPr="008441F4">
        <w:rPr>
          <w:rFonts w:ascii="Arial" w:hAnsi="Arial" w:cs="Arial"/>
          <w:b/>
        </w:rPr>
        <w:t xml:space="preserve"> </w:t>
      </w:r>
      <w:r w:rsidRPr="008441F4">
        <w:rPr>
          <w:rFonts w:ascii="Arial" w:hAnsi="Arial" w:cs="Arial"/>
        </w:rPr>
        <w:t>Following the US–Israeli strikes on Iran in February 2026, Iran closed the Strait of Hormuz, stranding medical consignments at Jebel Ali (NPR, 2026). Neko assembles its diagnostic devices in Sweden, so single-route dependency could idle a fixed-cost clinic. Christopher and Peck (2004) show resilience derives from engineered redundancy combined with flexibility rather than lean efficiency: Neko should qualify dual air corridors bypassing Gulf sea lanes and hold a ninety-day in-country buffer of critical spares.</w:t>
      </w:r>
    </w:p>
    <w:p w14:paraId="35C3DEA6" w14:textId="4B9ADADA" w:rsidR="004C3EA0" w:rsidRPr="008441F4" w:rsidRDefault="004C3EA0" w:rsidP="0027436A">
      <w:pPr>
        <w:pStyle w:val="BodyText"/>
        <w:numPr>
          <w:ilvl w:val="0"/>
          <w:numId w:val="23"/>
        </w:numPr>
        <w:spacing w:line="276" w:lineRule="auto"/>
        <w:rPr>
          <w:rFonts w:ascii="Arial" w:hAnsi="Arial" w:cs="Arial"/>
        </w:rPr>
      </w:pPr>
      <w:r w:rsidRPr="008441F4">
        <w:rPr>
          <w:rFonts w:ascii="Arial" w:hAnsi="Arial" w:cs="Arial"/>
          <w:b/>
        </w:rPr>
        <w:t>Cross-border cyber warfare and ransomware</w:t>
      </w:r>
      <w:r w:rsidR="0027436A">
        <w:rPr>
          <w:rFonts w:ascii="Arial" w:hAnsi="Arial" w:cs="Arial"/>
          <w:b/>
        </w:rPr>
        <w:t>:</w:t>
      </w:r>
      <w:r w:rsidRPr="008441F4">
        <w:rPr>
          <w:rFonts w:ascii="Arial" w:hAnsi="Arial" w:cs="Arial"/>
          <w:b/>
        </w:rPr>
        <w:t xml:space="preserve"> </w:t>
      </w:r>
      <w:r w:rsidRPr="008441F4">
        <w:rPr>
          <w:rFonts w:ascii="Arial" w:hAnsi="Arial" w:cs="Arial"/>
        </w:rPr>
        <w:t>The UAE Cybersecurity Council repelled a multi-vector attack on aviation, energy and education in August 2026, the third critical-infrastructure campaign of that year (Tech Times, 2026), and Iran-linked groups have moved from disruptive to complex intrusions across the Gulf (The National, 2026). A breach would be simultaneously an operational and a legitimacy failure under the Health Data Law. Ghadge et al. (2020) show cyber risk propagates across supply networks rather than residing inside the firm, so security standards must extend contractually to the UAE hosting provider.</w:t>
      </w:r>
    </w:p>
    <w:p w14:paraId="36414C97" w14:textId="13525522" w:rsidR="004C3EA0" w:rsidRPr="008441F4" w:rsidRDefault="004C3EA0" w:rsidP="0027436A">
      <w:pPr>
        <w:pStyle w:val="BodyText"/>
        <w:numPr>
          <w:ilvl w:val="0"/>
          <w:numId w:val="23"/>
        </w:numPr>
        <w:spacing w:line="276" w:lineRule="auto"/>
        <w:rPr>
          <w:rFonts w:ascii="Arial" w:hAnsi="Arial" w:cs="Arial"/>
        </w:rPr>
      </w:pPr>
      <w:r w:rsidRPr="008441F4">
        <w:rPr>
          <w:rFonts w:ascii="Arial" w:hAnsi="Arial" w:cs="Arial"/>
          <w:b/>
        </w:rPr>
        <w:lastRenderedPageBreak/>
        <w:t>Regulatory reclassification</w:t>
      </w:r>
      <w:r w:rsidR="0027436A">
        <w:rPr>
          <w:rFonts w:ascii="Arial" w:hAnsi="Arial" w:cs="Arial"/>
          <w:b/>
        </w:rPr>
        <w:t>:</w:t>
      </w:r>
      <w:r w:rsidRPr="008441F4">
        <w:rPr>
          <w:rFonts w:ascii="Arial" w:hAnsi="Arial" w:cs="Arial"/>
          <w:b/>
        </w:rPr>
        <w:t xml:space="preserve"> </w:t>
      </w:r>
      <w:r w:rsidRPr="008441F4">
        <w:rPr>
          <w:rFonts w:ascii="Arial" w:hAnsi="Arial" w:cs="Arial"/>
        </w:rPr>
        <w:t>Dubai established a Longevity Authority in 2026 to oversee the emirate's longevity and advanced health sectors (Zawya, 2026), and a new regulator writing its first rulebook is precisely when licensing categories and evidence thresholds are redrawn; AI-supported diagnostics could be reclassified upward under Federal Decree-Law No. 38 of 2024. Henisz (2000) shows policy-change hazard rather than policy content drives entry risk, so Neko's regulatory director should hold a standard-setting rather than compliance-monitoring role.</w:t>
      </w:r>
    </w:p>
    <w:p w14:paraId="0223FEDF" w14:textId="744D9122" w:rsidR="004C3EA0" w:rsidRPr="008441F4" w:rsidRDefault="004C3EA0" w:rsidP="0027436A">
      <w:pPr>
        <w:pStyle w:val="BodyText"/>
        <w:numPr>
          <w:ilvl w:val="0"/>
          <w:numId w:val="23"/>
        </w:numPr>
        <w:spacing w:line="276" w:lineRule="auto"/>
        <w:rPr>
          <w:rFonts w:ascii="Arial" w:hAnsi="Arial" w:cs="Arial"/>
        </w:rPr>
      </w:pPr>
      <w:r w:rsidRPr="008441F4">
        <w:rPr>
          <w:rFonts w:ascii="Arial" w:hAnsi="Arial" w:cs="Arial"/>
          <w:b/>
        </w:rPr>
        <w:t>Clinical evidence and reputational shock</w:t>
      </w:r>
      <w:r w:rsidR="0027436A">
        <w:rPr>
          <w:rFonts w:ascii="Arial" w:hAnsi="Arial" w:cs="Arial"/>
          <w:b/>
        </w:rPr>
        <w:t>:</w:t>
      </w:r>
      <w:r w:rsidRPr="008441F4">
        <w:rPr>
          <w:rFonts w:ascii="Arial" w:hAnsi="Arial" w:cs="Arial"/>
          <w:b/>
        </w:rPr>
        <w:t xml:space="preserve"> </w:t>
      </w:r>
      <w:r w:rsidRPr="008441F4">
        <w:rPr>
          <w:rFonts w:ascii="Arial" w:hAnsi="Arial" w:cs="Arial"/>
        </w:rPr>
        <w:t>Whole-body screening attracts sustained criticism for overdiagnosis and false positives, and a single adverse study would attack Neko's strongest legitimacy asset. Suchman (1995) distinguishes pragmatic, moral and cognitive legitimacy, noting that moral legitimacy is slowest to rebuild once lost. Pre-emptive publication of local outcome data and transparent false-positive rates convert defence into differentiation.</w:t>
      </w:r>
    </w:p>
    <w:p w14:paraId="39F56576" w14:textId="20C9320A" w:rsidR="004C3EA0" w:rsidRPr="008441F4" w:rsidRDefault="004C3EA0" w:rsidP="0027436A">
      <w:pPr>
        <w:pStyle w:val="BodyText"/>
        <w:numPr>
          <w:ilvl w:val="0"/>
          <w:numId w:val="23"/>
        </w:numPr>
        <w:spacing w:line="276" w:lineRule="auto"/>
        <w:rPr>
          <w:rFonts w:ascii="Arial" w:hAnsi="Arial" w:cs="Arial"/>
        </w:rPr>
      </w:pPr>
      <w:r w:rsidRPr="008441F4">
        <w:rPr>
          <w:rFonts w:ascii="Arial" w:hAnsi="Arial" w:cs="Arial"/>
          <w:b/>
        </w:rPr>
        <w:t>Pandemics</w:t>
      </w:r>
      <w:r w:rsidR="0027436A">
        <w:rPr>
          <w:rFonts w:ascii="Arial" w:hAnsi="Arial" w:cs="Arial"/>
          <w:b/>
        </w:rPr>
        <w:t>:</w:t>
      </w:r>
      <w:r w:rsidRPr="008441F4">
        <w:rPr>
          <w:rFonts w:ascii="Arial" w:hAnsi="Arial" w:cs="Arial"/>
          <w:b/>
        </w:rPr>
        <w:t xml:space="preserve"> </w:t>
      </w:r>
      <w:r w:rsidRPr="008441F4">
        <w:rPr>
          <w:rFonts w:ascii="Arial" w:hAnsi="Arial" w:cs="Arial"/>
        </w:rPr>
        <w:t>COVID-19 suspended elective diagnostics globally, and Neko's discretionary, in-person, sixty-minute proposition sits in the category withdrawn first. Ivanov and Dolgui (2020) argue firms must design for viability and survivability rather than recovery alone: the modular scan room should permit reduced-occupancy reconfiguration, consultations should be deliverable remotely, and corporate contracts should allow deferral rather than cancellation.</w:t>
      </w:r>
    </w:p>
    <w:p w14:paraId="16423F68" w14:textId="00C6EE0E" w:rsidR="004C3EA0" w:rsidRPr="008441F4" w:rsidRDefault="004C3EA0" w:rsidP="0027436A">
      <w:pPr>
        <w:pStyle w:val="BodyText"/>
        <w:numPr>
          <w:ilvl w:val="0"/>
          <w:numId w:val="23"/>
        </w:numPr>
        <w:spacing w:line="276" w:lineRule="auto"/>
        <w:rPr>
          <w:rFonts w:ascii="Arial" w:hAnsi="Arial" w:cs="Arial"/>
        </w:rPr>
      </w:pPr>
      <w:r w:rsidRPr="008441F4">
        <w:rPr>
          <w:rFonts w:ascii="Arial" w:hAnsi="Arial" w:cs="Arial"/>
          <w:b/>
        </w:rPr>
        <w:t>Clinician supply constraint</w:t>
      </w:r>
      <w:r w:rsidR="0027436A">
        <w:rPr>
          <w:rFonts w:ascii="Arial" w:hAnsi="Arial" w:cs="Arial"/>
          <w:b/>
        </w:rPr>
        <w:t xml:space="preserve">: </w:t>
      </w:r>
      <w:r w:rsidRPr="008441F4">
        <w:rPr>
          <w:rFonts w:ascii="Arial" w:hAnsi="Arial" w:cs="Arial"/>
        </w:rPr>
        <w:t>The model requires physicians accepting nine patients daily rather than thirty, drawn from a pipeline gated by DHCC credentialing and expatriate visas. Erramilli and Rao (1993) show that inseparability of production and consumption leaves service firms uniquely exposed to local human-capital scarcity. Neko should over-recruit against opening headcount and structure retention around clinical autonomy rather than volume incentives.</w:t>
      </w:r>
    </w:p>
    <w:p w14:paraId="0687339B" w14:textId="2DB9FF99" w:rsidR="004C3EA0" w:rsidRPr="008441F4" w:rsidRDefault="004C3EA0" w:rsidP="0027436A">
      <w:pPr>
        <w:pStyle w:val="BodyText"/>
        <w:numPr>
          <w:ilvl w:val="0"/>
          <w:numId w:val="23"/>
        </w:numPr>
        <w:spacing w:line="276" w:lineRule="auto"/>
        <w:rPr>
          <w:rFonts w:ascii="Arial" w:hAnsi="Arial" w:cs="Arial"/>
        </w:rPr>
      </w:pPr>
      <w:r w:rsidRPr="008441F4">
        <w:rPr>
          <w:rFonts w:ascii="Arial" w:hAnsi="Arial" w:cs="Arial"/>
          <w:b/>
        </w:rPr>
        <w:t>Currency fluctuation and dollar-peg pressure</w:t>
      </w:r>
      <w:r w:rsidR="0027436A">
        <w:rPr>
          <w:rFonts w:ascii="Arial" w:hAnsi="Arial" w:cs="Arial"/>
          <w:b/>
        </w:rPr>
        <w:t>:</w:t>
      </w:r>
      <w:r w:rsidRPr="008441F4">
        <w:rPr>
          <w:rFonts w:ascii="Arial" w:hAnsi="Arial" w:cs="Arial"/>
          <w:b/>
        </w:rPr>
        <w:t xml:space="preserve"> </w:t>
      </w:r>
      <w:r w:rsidRPr="008441F4">
        <w:rPr>
          <w:rFonts w:ascii="Arial" w:hAnsi="Arial" w:cs="Arial"/>
        </w:rPr>
        <w:t>With Hormuz shipments sharply reduced, UAE officials reportedly warned they might resort to non-dollar settlement absent a Federal Reserve swap line (Fortune, 2026). Neko would earn dirhams while incurring krona costs, so peg adjustment compresses margins on a fixed local price. Kogut and Kulatilaka (1994) establish that network value lies in the option to shift activity in response to real exchange-rate movements, supporting retained optionality over assembly location.</w:t>
      </w:r>
    </w:p>
    <w:p w14:paraId="0BD364FA" w14:textId="3FBEC53C" w:rsidR="004C3EA0" w:rsidRPr="008441F4" w:rsidRDefault="004C3EA0" w:rsidP="0027436A">
      <w:pPr>
        <w:pStyle w:val="BodyText"/>
        <w:numPr>
          <w:ilvl w:val="0"/>
          <w:numId w:val="23"/>
        </w:numPr>
        <w:spacing w:line="276" w:lineRule="auto"/>
        <w:rPr>
          <w:rFonts w:ascii="Arial" w:hAnsi="Arial" w:cs="Arial"/>
        </w:rPr>
      </w:pPr>
      <w:r w:rsidRPr="008441F4">
        <w:rPr>
          <w:rFonts w:ascii="Arial" w:hAnsi="Arial" w:cs="Arial"/>
          <w:b/>
        </w:rPr>
        <w:t>Extreme weather and urban flooding</w:t>
      </w:r>
      <w:r w:rsidR="0027436A">
        <w:rPr>
          <w:rFonts w:ascii="Arial" w:hAnsi="Arial" w:cs="Arial"/>
          <w:b/>
        </w:rPr>
        <w:t>:</w:t>
      </w:r>
      <w:r w:rsidRPr="008441F4">
        <w:rPr>
          <w:rFonts w:ascii="Arial" w:hAnsi="Arial" w:cs="Arial"/>
          <w:b/>
        </w:rPr>
        <w:t xml:space="preserve"> </w:t>
      </w:r>
      <w:r w:rsidRPr="008441F4">
        <w:rPr>
          <w:rFonts w:ascii="Arial" w:hAnsi="Arial" w:cs="Arial"/>
        </w:rPr>
        <w:t xml:space="preserve">In April 2024 the UAE recorded its heaviest rainfall in seventy-five years, flooding runways and closing schools (CNN, 2024). A single flagship clinic is a single point of failure in a utilisation-dependent business. Oetzel and Oh (2014) find firms with </w:t>
      </w:r>
      <w:r w:rsidRPr="008441F4">
        <w:rPr>
          <w:rFonts w:ascii="Arial" w:hAnsi="Arial" w:cs="Arial"/>
        </w:rPr>
        <w:lastRenderedPageBreak/>
        <w:t>direct disaster experience expand more confidently in hazard-prone markets because exposure converts into capability, so Neko should site above flood-risk zones, provision redundant power and connectivity, and codify each disruption into an operating playbook.</w:t>
      </w:r>
    </w:p>
    <w:p w14:paraId="67015CC2" w14:textId="77777777" w:rsidR="004C3EA0" w:rsidRPr="008441F4" w:rsidRDefault="004C3EA0" w:rsidP="0067119A">
      <w:pPr>
        <w:pStyle w:val="Heading1"/>
        <w:numPr>
          <w:ilvl w:val="0"/>
          <w:numId w:val="18"/>
        </w:numPr>
        <w:rPr>
          <w:rFonts w:cs="Arial"/>
        </w:rPr>
      </w:pPr>
      <w:bookmarkStart w:id="26" w:name="recommendations"/>
      <w:bookmarkStart w:id="27" w:name="_Toc237314147"/>
      <w:r w:rsidRPr="008441F4">
        <w:rPr>
          <w:rFonts w:cs="Arial"/>
        </w:rPr>
        <w:t>Recommendations</w:t>
      </w:r>
      <w:bookmarkEnd w:id="26"/>
      <w:bookmarkEnd w:id="27"/>
    </w:p>
    <w:p w14:paraId="50EE2797" w14:textId="13066BBC" w:rsidR="008441F4" w:rsidRPr="008441F4" w:rsidRDefault="008441F4" w:rsidP="008441F4">
      <w:pPr>
        <w:pStyle w:val="ListParagraph"/>
        <w:numPr>
          <w:ilvl w:val="0"/>
          <w:numId w:val="21"/>
        </w:numPr>
        <w:spacing w:before="0" w:after="0" w:line="276" w:lineRule="auto"/>
        <w:ind w:left="284" w:hanging="284"/>
        <w:rPr>
          <w:rFonts w:cs="Arial"/>
        </w:rPr>
      </w:pPr>
      <w:r w:rsidRPr="008441F4">
        <w:rPr>
          <w:rFonts w:cs="Arial"/>
        </w:rPr>
        <w:t xml:space="preserve">Federal Decree-Law No. 38 of 2024 facility licensing before any capital is committed to construction should likely be done to offset risk outside Neko's control. </w:t>
      </w:r>
    </w:p>
    <w:p w14:paraId="305BA75C" w14:textId="77777777" w:rsidR="008441F4" w:rsidRDefault="008441F4" w:rsidP="008441F4">
      <w:pPr>
        <w:pStyle w:val="ListParagraph"/>
        <w:numPr>
          <w:ilvl w:val="0"/>
          <w:numId w:val="21"/>
        </w:numPr>
        <w:spacing w:before="0" w:after="0" w:line="276" w:lineRule="auto"/>
        <w:ind w:left="284" w:hanging="284"/>
        <w:rPr>
          <w:rFonts w:cs="Arial"/>
        </w:rPr>
      </w:pPr>
      <w:r w:rsidRPr="008441F4">
        <w:rPr>
          <w:rFonts w:cs="Arial"/>
        </w:rPr>
        <w:t xml:space="preserve">UAE-resident data infrastructure from the outset must be built with a policy in article (13 that prohibits offshore storage to protect data sovereignty, which is politically salient (Federal Law No. (2) of 2019). </w:t>
      </w:r>
    </w:p>
    <w:p w14:paraId="1E7188FA" w14:textId="77777777" w:rsidR="008441F4" w:rsidRDefault="008441F4" w:rsidP="008441F4">
      <w:pPr>
        <w:pStyle w:val="ListParagraph"/>
        <w:numPr>
          <w:ilvl w:val="0"/>
          <w:numId w:val="21"/>
        </w:numPr>
        <w:spacing w:before="0" w:after="0" w:line="276" w:lineRule="auto"/>
        <w:ind w:left="284" w:hanging="284"/>
        <w:rPr>
          <w:rFonts w:cs="Arial"/>
        </w:rPr>
      </w:pPr>
      <w:r w:rsidRPr="008441F4">
        <w:rPr>
          <w:rFonts w:cs="Arial"/>
        </w:rPr>
        <w:t>Employing a UAE-based regulatory director rather than contracting external consultants might help in the regulatory process, as the PESTLE analysis identified regulatory adaptation rather than regulatory absence as the binding constraint.</w:t>
      </w:r>
    </w:p>
    <w:p w14:paraId="36E7EE5F" w14:textId="5DD48A4D" w:rsidR="008441F4" w:rsidRPr="008441F4" w:rsidRDefault="008441F4" w:rsidP="008441F4">
      <w:pPr>
        <w:pStyle w:val="ListParagraph"/>
        <w:numPr>
          <w:ilvl w:val="0"/>
          <w:numId w:val="21"/>
        </w:numPr>
        <w:spacing w:before="100" w:beforeAutospacing="1" w:after="100" w:afterAutospacing="1" w:line="276" w:lineRule="auto"/>
        <w:ind w:left="284" w:hanging="284"/>
        <w:rPr>
          <w:rFonts w:cs="Arial"/>
        </w:rPr>
      </w:pPr>
      <w:r w:rsidRPr="008441F4">
        <w:rPr>
          <w:rFonts w:cs="Arial"/>
        </w:rPr>
        <w:t>Neko is likely to benefit from localising service delivery through Arabic-language reporting and gender-concordant clinicians and scheduling. As bodily-privacy expectations could be stronger in the UAE than in Sweden, these adaptations could potentially reduce barriers to adoption among key customer groups, particularly for near-full-body scanning.</w:t>
      </w:r>
    </w:p>
    <w:p w14:paraId="7AB08155" w14:textId="450E1CED" w:rsidR="008441F4" w:rsidRPr="008441F4" w:rsidRDefault="008441F4" w:rsidP="008441F4">
      <w:pPr>
        <w:pStyle w:val="ListParagraph"/>
        <w:numPr>
          <w:ilvl w:val="0"/>
          <w:numId w:val="21"/>
        </w:numPr>
        <w:spacing w:before="100" w:beforeAutospacing="1" w:after="100" w:afterAutospacing="1" w:line="276" w:lineRule="auto"/>
        <w:ind w:left="284" w:hanging="284"/>
        <w:rPr>
          <w:rFonts w:cs="Arial"/>
        </w:rPr>
      </w:pPr>
      <w:r w:rsidRPr="008441F4">
        <w:rPr>
          <w:rFonts w:cs="Arial"/>
        </w:rPr>
        <w:t xml:space="preserve">Neko </w:t>
      </w:r>
      <w:r>
        <w:rPr>
          <w:rFonts w:cs="Arial"/>
        </w:rPr>
        <w:t>should</w:t>
      </w:r>
      <w:r w:rsidRPr="008441F4">
        <w:rPr>
          <w:rFonts w:cs="Arial"/>
        </w:rPr>
        <w:t xml:space="preserve"> develop a portable health record that members retain when leaving the UAE. This could turn the population transience identified in the PESTLE analysis from a threat to Neko’s longitudinal model into a potential source of value, allowing customers to retain continuity of their health information beyond the UAE.</w:t>
      </w:r>
    </w:p>
    <w:p w14:paraId="70E26B14" w14:textId="3F4BCD67" w:rsidR="004C3EA0" w:rsidRPr="008441F4" w:rsidRDefault="008441F4" w:rsidP="002B2B31">
      <w:pPr>
        <w:pStyle w:val="ListParagraph"/>
        <w:numPr>
          <w:ilvl w:val="0"/>
          <w:numId w:val="21"/>
        </w:numPr>
        <w:spacing w:before="100" w:beforeAutospacing="1" w:after="100" w:afterAutospacing="1" w:line="276" w:lineRule="auto"/>
        <w:ind w:left="284" w:hanging="284"/>
        <w:rPr>
          <w:rFonts w:cs="Arial"/>
        </w:rPr>
      </w:pPr>
      <w:r>
        <w:rPr>
          <w:rFonts w:cs="Arial"/>
        </w:rPr>
        <w:t xml:space="preserve">It should </w:t>
      </w:r>
      <w:r w:rsidRPr="008441F4">
        <w:rPr>
          <w:rFonts w:cs="Arial"/>
        </w:rPr>
        <w:t>secure two or three non-equity contracts with multinational employers or insurers before opening the clinic</w:t>
      </w:r>
      <w:r>
        <w:rPr>
          <w:rFonts w:cs="Arial"/>
        </w:rPr>
        <w:t>,</w:t>
      </w:r>
      <w:r w:rsidRPr="008441F4">
        <w:rPr>
          <w:rFonts w:cs="Arial"/>
        </w:rPr>
        <w:t xml:space="preserve"> </w:t>
      </w:r>
      <w:r>
        <w:rPr>
          <w:rFonts w:cs="Arial"/>
        </w:rPr>
        <w:t>allowing</w:t>
      </w:r>
      <w:r w:rsidRPr="008441F4">
        <w:rPr>
          <w:rFonts w:cs="Arial"/>
        </w:rPr>
        <w:t xml:space="preserve"> Neko to leverage its cost-avoidance positioning while establishing an initial demand base and validating the commercial proposition before further capital is committed.</w:t>
      </w:r>
    </w:p>
    <w:p w14:paraId="3932CC30" w14:textId="54FB7CA5" w:rsidR="004C3EA0" w:rsidRPr="008441F4" w:rsidRDefault="004C3EA0" w:rsidP="0067119A">
      <w:pPr>
        <w:pStyle w:val="Heading1"/>
        <w:numPr>
          <w:ilvl w:val="0"/>
          <w:numId w:val="18"/>
        </w:numPr>
        <w:rPr>
          <w:rFonts w:cs="Arial"/>
        </w:rPr>
      </w:pPr>
      <w:bookmarkStart w:id="28" w:name="conclusion"/>
      <w:bookmarkStart w:id="29" w:name="_Toc237314148"/>
      <w:r w:rsidRPr="008441F4">
        <w:rPr>
          <w:rFonts w:cs="Arial"/>
        </w:rPr>
        <w:t>Conclusion</w:t>
      </w:r>
      <w:bookmarkEnd w:id="28"/>
      <w:bookmarkEnd w:id="29"/>
    </w:p>
    <w:p w14:paraId="6CD012E5" w14:textId="77777777" w:rsidR="004C3EA0" w:rsidRPr="008441F4" w:rsidRDefault="004C3EA0" w:rsidP="002B2B31">
      <w:pPr>
        <w:pStyle w:val="BodyText"/>
        <w:spacing w:line="276" w:lineRule="auto"/>
        <w:rPr>
          <w:rFonts w:ascii="Arial" w:hAnsi="Arial" w:cs="Arial"/>
        </w:rPr>
      </w:pPr>
      <w:r w:rsidRPr="008441F4">
        <w:rPr>
          <w:rFonts w:ascii="Arial" w:hAnsi="Arial" w:cs="Arial"/>
        </w:rPr>
        <w:t>The UAE aligns unusually well with what Neko Health does. A population with diabetes approaching one in five, obesity above a quarter and cardiovascular disease behind two-fifths of deaths presents precisely the risk profile the scan was built to read, and a state already funding the shift towards prevention removes much of the burden of arguing the case for it. Alignment is not sufficient. PESTLE identified data localisation and device registration as costly legal constraints, and population transience as a threat to the longitudinal logic on which Neko's value compounds.</w:t>
      </w:r>
    </w:p>
    <w:p w14:paraId="4B841C08" w14:textId="26342E42" w:rsidR="00257F64" w:rsidRPr="008441F4" w:rsidRDefault="0034272F" w:rsidP="0005105D">
      <w:pPr>
        <w:pStyle w:val="BodyText"/>
        <w:spacing w:line="276" w:lineRule="auto"/>
        <w:rPr>
          <w:rFonts w:ascii="Arial" w:hAnsi="Arial" w:cs="Arial"/>
        </w:rPr>
      </w:pPr>
      <w:r w:rsidRPr="0034272F">
        <w:rPr>
          <w:rFonts w:ascii="Arial" w:hAnsi="Arial" w:cs="Arial"/>
        </w:rPr>
        <w:t xml:space="preserve">The Porter’s Five Forces analysis indicates a moderately attractive industry, challenged by strong substitutes and category confusion. Neko's vertical integration </w:t>
      </w:r>
      <w:proofErr w:type="spellStart"/>
      <w:r w:rsidRPr="0034272F">
        <w:rPr>
          <w:rFonts w:ascii="Arial" w:hAnsi="Arial" w:cs="Arial"/>
        </w:rPr>
        <w:t>minimises</w:t>
      </w:r>
      <w:proofErr w:type="spellEnd"/>
      <w:r w:rsidRPr="0034272F">
        <w:rPr>
          <w:rFonts w:ascii="Arial" w:hAnsi="Arial" w:cs="Arial"/>
        </w:rPr>
        <w:t xml:space="preserve"> reliance on suppliers compared with competitors. This </w:t>
      </w:r>
      <w:r w:rsidRPr="0034272F">
        <w:rPr>
          <w:rFonts w:ascii="Arial" w:hAnsi="Arial" w:cs="Arial"/>
        </w:rPr>
        <w:lastRenderedPageBreak/>
        <w:t>suggests that operational flexibility, rather than scale alone, is crucial to attractiveness. By establishing a wholly owned clinic in Dubai, Neko can maintain this flexibility and protect its know-how. Despite limitations, such as a lack of detailed financial data and static frameworks amid policy changes, the UAE market presents significant potential. If Neko approaches this opportunity carefully and ensures ownership of its developments, it can establish a strong presence in the region.</w:t>
      </w:r>
    </w:p>
    <w:p w14:paraId="16E0ED2B" w14:textId="77777777" w:rsidR="007C5069" w:rsidRPr="008441F4" w:rsidRDefault="007C5069" w:rsidP="0005105D">
      <w:pPr>
        <w:pStyle w:val="BodyText"/>
        <w:spacing w:line="276" w:lineRule="auto"/>
        <w:rPr>
          <w:rFonts w:ascii="Arial" w:hAnsi="Arial" w:cs="Arial"/>
        </w:rPr>
      </w:pPr>
    </w:p>
    <w:p w14:paraId="16CDEBD5" w14:textId="01C73CD6" w:rsidR="00F716F6" w:rsidRPr="008441F4" w:rsidRDefault="004C3EA0" w:rsidP="001322CD">
      <w:pPr>
        <w:pStyle w:val="Heading2"/>
        <w:spacing w:before="0" w:after="0" w:line="276" w:lineRule="auto"/>
        <w:rPr>
          <w:rFonts w:cs="Arial"/>
          <w:szCs w:val="24"/>
        </w:rPr>
      </w:pPr>
      <w:bookmarkStart w:id="30" w:name="references"/>
      <w:bookmarkStart w:id="31" w:name="_Toc237314149"/>
      <w:r w:rsidRPr="008441F4">
        <w:rPr>
          <w:rFonts w:cs="Arial"/>
          <w:szCs w:val="24"/>
        </w:rPr>
        <w:t>References</w:t>
      </w:r>
      <w:bookmarkEnd w:id="30"/>
      <w:bookmarkEnd w:id="31"/>
    </w:p>
    <w:p w14:paraId="74DD1B13" w14:textId="16C20EAE"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Al-Shamsi, H. O. (Ed.). (2025). Healthcare in the United Arab Emirates. Springer Nature Singapore. </w:t>
      </w:r>
      <w:hyperlink r:id="rId10" w:history="1">
        <w:r w:rsidR="00995074" w:rsidRPr="008441F4">
          <w:rPr>
            <w:rStyle w:val="Hyperlink"/>
            <w:rFonts w:ascii="Arial" w:hAnsi="Arial" w:cs="Arial"/>
          </w:rPr>
          <w:t>https://doi.org/10.1007/978-981-96-0523-1</w:t>
        </w:r>
      </w:hyperlink>
      <w:r w:rsidR="00995074" w:rsidRPr="008441F4">
        <w:rPr>
          <w:rFonts w:ascii="Arial" w:hAnsi="Arial" w:cs="Arial"/>
        </w:rPr>
        <w:t xml:space="preserve"> </w:t>
      </w:r>
    </w:p>
    <w:p w14:paraId="616499CB" w14:textId="12CD5973"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Anderson, E., &amp; Gatignon, H. (1986). Modes of foreign entry: A transaction cost analysis and propositions. Journal of International Business Studies, 17(3), 1–26. </w:t>
      </w:r>
      <w:hyperlink r:id="rId11" w:history="1">
        <w:r w:rsidR="00995074" w:rsidRPr="008441F4">
          <w:rPr>
            <w:rStyle w:val="Hyperlink"/>
            <w:rFonts w:ascii="Arial" w:hAnsi="Arial" w:cs="Arial"/>
          </w:rPr>
          <w:t>https://doi.org/10.1057/palgrave.jibs.8490432</w:t>
        </w:r>
      </w:hyperlink>
      <w:r w:rsidR="00995074" w:rsidRPr="008441F4">
        <w:rPr>
          <w:rFonts w:ascii="Arial" w:hAnsi="Arial" w:cs="Arial"/>
        </w:rPr>
        <w:t xml:space="preserve"> </w:t>
      </w:r>
    </w:p>
    <w:p w14:paraId="6B6CDE2E" w14:textId="6E386BBE"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Barney, J. (1991). Firm resources and sustained competitive advantage. Journal of Management, 17(1), 99–120. </w:t>
      </w:r>
      <w:hyperlink r:id="rId12" w:history="1">
        <w:r w:rsidR="00995074" w:rsidRPr="008441F4">
          <w:rPr>
            <w:rStyle w:val="Hyperlink"/>
            <w:rFonts w:ascii="Arial" w:hAnsi="Arial" w:cs="Arial"/>
          </w:rPr>
          <w:t>https://doi.org/10.1177/014920639101700108</w:t>
        </w:r>
      </w:hyperlink>
      <w:r w:rsidR="00995074" w:rsidRPr="008441F4">
        <w:rPr>
          <w:rFonts w:ascii="Arial" w:hAnsi="Arial" w:cs="Arial"/>
        </w:rPr>
        <w:t xml:space="preserve"> </w:t>
      </w:r>
    </w:p>
    <w:p w14:paraId="4A9477F5" w14:textId="77EAFC52"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Barrera, N., Solorzano, M., Jimenez, Y., Kushnir, Y., Gallegos-Koyner, F., &amp; Dagostin de Carvalho, G. (2025). Accuracy of smartwatches in the detection of atrial fibrillation: A systematic review and diagnostic meta-analysis. JACC: Advances, 4(11), 102133. </w:t>
      </w:r>
      <w:r w:rsidR="00995074" w:rsidRPr="008441F4">
        <w:rPr>
          <w:rFonts w:ascii="Arial" w:hAnsi="Arial" w:cs="Arial"/>
        </w:rPr>
        <w:t xml:space="preserve"> </w:t>
      </w:r>
      <w:hyperlink r:id="rId13" w:history="1">
        <w:r w:rsidR="00995074" w:rsidRPr="008441F4">
          <w:rPr>
            <w:rStyle w:val="Hyperlink"/>
            <w:rFonts w:ascii="Arial" w:hAnsi="Arial" w:cs="Arial"/>
          </w:rPr>
          <w:t>https://doi.org/10.1016/j.jacadv.2025.102133</w:t>
        </w:r>
      </w:hyperlink>
      <w:r w:rsidR="00995074" w:rsidRPr="008441F4">
        <w:rPr>
          <w:rFonts w:ascii="Arial" w:hAnsi="Arial" w:cs="Arial"/>
        </w:rPr>
        <w:t xml:space="preserve"> </w:t>
      </w:r>
    </w:p>
    <w:p w14:paraId="3CCAC566" w14:textId="4F070384"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Brouthers, K. D. (2002). Institutional, cultural and transaction cost influences on entry mode choice and performance. Journal of International Business Studies, 33(2), 203–221. </w:t>
      </w:r>
      <w:hyperlink r:id="rId14" w:history="1">
        <w:r w:rsidR="00995074" w:rsidRPr="008441F4">
          <w:rPr>
            <w:rStyle w:val="Hyperlink"/>
            <w:rFonts w:ascii="Arial" w:hAnsi="Arial" w:cs="Arial"/>
          </w:rPr>
          <w:t>https://doi.org/10.1057/palgrave.jibs.8491013</w:t>
        </w:r>
      </w:hyperlink>
      <w:r w:rsidR="00995074" w:rsidRPr="008441F4">
        <w:rPr>
          <w:rFonts w:ascii="Arial" w:hAnsi="Arial" w:cs="Arial"/>
        </w:rPr>
        <w:t xml:space="preserve"> </w:t>
      </w:r>
    </w:p>
    <w:p w14:paraId="4A03BA43" w14:textId="6A4ACC08"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Central Bank of the UAE. (2026). Quarterly economic review, March 2026. </w:t>
      </w:r>
      <w:hyperlink r:id="rId15" w:history="1">
        <w:r w:rsidR="00995074" w:rsidRPr="008441F4">
          <w:rPr>
            <w:rStyle w:val="Hyperlink"/>
            <w:rFonts w:ascii="Arial" w:hAnsi="Arial" w:cs="Arial"/>
          </w:rPr>
          <w:t>https://www.centralbank.ae/media/lgnfakgc/qer-march_2026.pdf</w:t>
        </w:r>
      </w:hyperlink>
      <w:r w:rsidR="00995074" w:rsidRPr="008441F4">
        <w:rPr>
          <w:rFonts w:ascii="Arial" w:hAnsi="Arial" w:cs="Arial"/>
        </w:rPr>
        <w:t xml:space="preserve"> </w:t>
      </w:r>
    </w:p>
    <w:p w14:paraId="0C0D7EE0" w14:textId="6DFDEE07"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Christopher, M., &amp; Peck, H. (2004). Building the resilient supply chain. The International Journal of Logistics Management, 15(2), 1–14. </w:t>
      </w:r>
      <w:hyperlink r:id="rId16" w:history="1">
        <w:r w:rsidR="00995074" w:rsidRPr="008441F4">
          <w:rPr>
            <w:rStyle w:val="Hyperlink"/>
            <w:rFonts w:ascii="Arial" w:hAnsi="Arial" w:cs="Arial"/>
          </w:rPr>
          <w:t>https://doi.org/10.1108/09574090410700275</w:t>
        </w:r>
      </w:hyperlink>
      <w:r w:rsidR="00995074" w:rsidRPr="008441F4">
        <w:rPr>
          <w:rFonts w:ascii="Arial" w:hAnsi="Arial" w:cs="Arial"/>
        </w:rPr>
        <w:t xml:space="preserve"> </w:t>
      </w:r>
    </w:p>
    <w:p w14:paraId="7CC90561" w14:textId="7E545F51"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CNN. (2024, April 17). Dubai flooding: Chaos as UAE records heaviest rainfall in 75 years. </w:t>
      </w:r>
      <w:hyperlink r:id="rId17" w:history="1">
        <w:r w:rsidR="00995074" w:rsidRPr="008441F4">
          <w:rPr>
            <w:rStyle w:val="Hyperlink"/>
            <w:rFonts w:ascii="Arial" w:hAnsi="Arial" w:cs="Arial"/>
          </w:rPr>
          <w:t>https://www.cnn.com/2024/04/17/weather/dubai-rain-flooding-climate-wednesday-intl/index.html</w:t>
        </w:r>
      </w:hyperlink>
      <w:r w:rsidR="00995074" w:rsidRPr="008441F4">
        <w:rPr>
          <w:rFonts w:ascii="Arial" w:hAnsi="Arial" w:cs="Arial"/>
        </w:rPr>
        <w:t xml:space="preserve"> </w:t>
      </w:r>
    </w:p>
    <w:p w14:paraId="46E0484F" w14:textId="77777777"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Collis, D. J., &amp; Rukstad, M. G. (2008). Can you say what your strategy is? Harvard Business Review, 86(4), 82–90.</w:t>
      </w:r>
    </w:p>
    <w:p w14:paraId="2542D219" w14:textId="328C3698"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Coviello, N., Kano, L., &amp; Liesch, P. W. (2017). Adapting the Uppsala model to a modern world: Macro-context and microfoundations. Journal of International Business Studies, 48(9), 1151–1164. </w:t>
      </w:r>
      <w:hyperlink r:id="rId18" w:history="1">
        <w:r w:rsidR="00995074" w:rsidRPr="008441F4">
          <w:rPr>
            <w:rStyle w:val="Hyperlink"/>
            <w:rFonts w:ascii="Arial" w:hAnsi="Arial" w:cs="Arial"/>
          </w:rPr>
          <w:t>https://doi.org/10.1057/s41267-017-0120-x</w:t>
        </w:r>
      </w:hyperlink>
      <w:r w:rsidR="00995074" w:rsidRPr="008441F4">
        <w:rPr>
          <w:rFonts w:ascii="Arial" w:hAnsi="Arial" w:cs="Arial"/>
        </w:rPr>
        <w:t xml:space="preserve"> </w:t>
      </w:r>
    </w:p>
    <w:p w14:paraId="0F82C2EE" w14:textId="1C46DCDC"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Department of Health – Abu Dhabi [DoH]. (2026a). World Health Expo 2026. </w:t>
      </w:r>
      <w:hyperlink r:id="rId19" w:history="1">
        <w:r w:rsidR="00995074" w:rsidRPr="008441F4">
          <w:rPr>
            <w:rStyle w:val="Hyperlink"/>
            <w:rFonts w:ascii="Arial" w:hAnsi="Arial" w:cs="Arial"/>
          </w:rPr>
          <w:t>https://www.doh.gov.ae/en/news/world-health-expo-2026</w:t>
        </w:r>
      </w:hyperlink>
      <w:r w:rsidR="00995074" w:rsidRPr="008441F4">
        <w:rPr>
          <w:rFonts w:ascii="Arial" w:hAnsi="Arial" w:cs="Arial"/>
        </w:rPr>
        <w:t xml:space="preserve"> </w:t>
      </w:r>
    </w:p>
    <w:p w14:paraId="267CE0A1" w14:textId="7C4FEEC2"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Department of Health – Abu Dhabi [DoH]. (2026b). Department of Health – Abu Dhabi and ŌURA partner to advance preventive health in Abu Dhabi. </w:t>
      </w:r>
      <w:hyperlink r:id="rId20" w:history="1">
        <w:r w:rsidR="00995074" w:rsidRPr="008441F4">
          <w:rPr>
            <w:rStyle w:val="Hyperlink"/>
            <w:rFonts w:ascii="Arial" w:hAnsi="Arial" w:cs="Arial"/>
          </w:rPr>
          <w:t>https://www.doh.gov.ae/en/news/doh-and-oura-partner-to-advance-preventive-health-in-abu-dhabi</w:t>
        </w:r>
      </w:hyperlink>
      <w:r w:rsidR="00995074" w:rsidRPr="008441F4">
        <w:rPr>
          <w:rFonts w:ascii="Arial" w:hAnsi="Arial" w:cs="Arial"/>
        </w:rPr>
        <w:t xml:space="preserve"> </w:t>
      </w:r>
    </w:p>
    <w:p w14:paraId="1FC254DC" w14:textId="200EDBA0"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Doh, J., Rodrigues, S., Saka-Helmhout, A., &amp; Makhija, M. (2017). International business responses to institutional voids. Journal of </w:t>
      </w:r>
      <w:r w:rsidRPr="008441F4">
        <w:rPr>
          <w:rFonts w:ascii="Arial" w:hAnsi="Arial" w:cs="Arial"/>
        </w:rPr>
        <w:lastRenderedPageBreak/>
        <w:t xml:space="preserve">International Business Studies, 48(3), 293–307. </w:t>
      </w:r>
      <w:hyperlink r:id="rId21" w:history="1">
        <w:r w:rsidR="00995074" w:rsidRPr="008441F4">
          <w:rPr>
            <w:rStyle w:val="Hyperlink"/>
            <w:rFonts w:ascii="Arial" w:hAnsi="Arial" w:cs="Arial"/>
          </w:rPr>
          <w:t>https://doi.org/10.1057/s41267-017-0074-z</w:t>
        </w:r>
      </w:hyperlink>
      <w:r w:rsidR="00995074" w:rsidRPr="008441F4">
        <w:rPr>
          <w:rFonts w:ascii="Arial" w:hAnsi="Arial" w:cs="Arial"/>
        </w:rPr>
        <w:t xml:space="preserve"> </w:t>
      </w:r>
    </w:p>
    <w:p w14:paraId="7D3E43A0" w14:textId="7BBBE18C"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Dunning, J. H. (2000). The eclectic paradigm as an envelope for economic and business theories of MNE activity. International Business Review, 9(2), 163–190. </w:t>
      </w:r>
      <w:hyperlink r:id="rId22" w:history="1">
        <w:r w:rsidR="00995074" w:rsidRPr="008441F4">
          <w:rPr>
            <w:rStyle w:val="Hyperlink"/>
            <w:rFonts w:ascii="Arial" w:hAnsi="Arial" w:cs="Arial"/>
          </w:rPr>
          <w:t>https://doi.org/10.1016/S0969-5931(99)00035-9</w:t>
        </w:r>
      </w:hyperlink>
      <w:r w:rsidR="00995074" w:rsidRPr="008441F4">
        <w:rPr>
          <w:rFonts w:ascii="Arial" w:hAnsi="Arial" w:cs="Arial"/>
        </w:rPr>
        <w:t xml:space="preserve"> </w:t>
      </w:r>
    </w:p>
    <w:p w14:paraId="58B54ACF" w14:textId="6886CDE5"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Erramilli, M. K., &amp; Rao, C. P. (1993). Service firms’ international entry-mode choice: A modified transaction-cost analysis approach. Journal of Marketing, 57(3), 19–38. </w:t>
      </w:r>
      <w:hyperlink r:id="rId23" w:history="1">
        <w:r w:rsidR="00995074" w:rsidRPr="008441F4">
          <w:rPr>
            <w:rStyle w:val="Hyperlink"/>
            <w:rFonts w:ascii="Arial" w:hAnsi="Arial" w:cs="Arial"/>
          </w:rPr>
          <w:t>https://doi.org/10.1177/002224299305700302</w:t>
        </w:r>
      </w:hyperlink>
      <w:r w:rsidR="00995074" w:rsidRPr="008441F4">
        <w:rPr>
          <w:rFonts w:ascii="Arial" w:hAnsi="Arial" w:cs="Arial"/>
        </w:rPr>
        <w:t xml:space="preserve"> </w:t>
      </w:r>
    </w:p>
    <w:p w14:paraId="3E03C070" w14:textId="2F99ABC7"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i/>
        </w:rPr>
        <w:t xml:space="preserve">Federal Competitiveness and Statistics Centre. (2026, May 30). UAE GDP grows 6.2% in 2025, reaching AED 1.9 trillion. </w:t>
      </w:r>
      <w:hyperlink r:id="rId24" w:history="1">
        <w:r w:rsidR="00995074" w:rsidRPr="008441F4">
          <w:rPr>
            <w:rStyle w:val="Hyperlink"/>
            <w:rFonts w:ascii="Arial" w:hAnsi="Arial" w:cs="Arial"/>
            <w:i/>
          </w:rPr>
          <w:t>https://fcsc.gov.ae/press-release/</w:t>
        </w:r>
      </w:hyperlink>
      <w:r w:rsidR="00995074" w:rsidRPr="008441F4">
        <w:rPr>
          <w:rFonts w:ascii="Arial" w:hAnsi="Arial" w:cs="Arial"/>
          <w:i/>
        </w:rPr>
        <w:t xml:space="preserve"> </w:t>
      </w:r>
    </w:p>
    <w:p w14:paraId="30FA6F57" w14:textId="583916DC"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Federal Decree-Law No. 26 of 2020 amending certain provisions of Federal Law No. 2 of 2015 concerning Commercial Companies (United Arab Emirates). </w:t>
      </w:r>
      <w:hyperlink r:id="rId25" w:history="1">
        <w:r w:rsidR="00995074" w:rsidRPr="008441F4">
          <w:rPr>
            <w:rStyle w:val="Hyperlink"/>
            <w:rFonts w:ascii="Arial" w:hAnsi="Arial" w:cs="Arial"/>
          </w:rPr>
          <w:t>https://u.ae/en/information-and-services/business/doing-business-on-the-mainland/full-foreign-ownership-of-commercial-companies</w:t>
        </w:r>
      </w:hyperlink>
      <w:r w:rsidR="00995074" w:rsidRPr="008441F4">
        <w:rPr>
          <w:rFonts w:ascii="Arial" w:hAnsi="Arial" w:cs="Arial"/>
        </w:rPr>
        <w:t xml:space="preserve"> </w:t>
      </w:r>
    </w:p>
    <w:p w14:paraId="128E309A" w14:textId="19D76E92"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Federal Decree-Law No. 38 of 2024 governing Medical Products, Pharmacists and Pharmaceutical Establishments (United Arab Emirates). </w:t>
      </w:r>
      <w:hyperlink r:id="rId26" w:history="1">
        <w:r w:rsidR="00995074" w:rsidRPr="008441F4">
          <w:rPr>
            <w:rStyle w:val="Hyperlink"/>
            <w:rFonts w:ascii="Arial" w:hAnsi="Arial" w:cs="Arial"/>
          </w:rPr>
          <w:t>https://uaelegislation.gov.ae/en/legislations/2751</w:t>
        </w:r>
      </w:hyperlink>
      <w:r w:rsidR="00995074" w:rsidRPr="008441F4">
        <w:rPr>
          <w:rFonts w:ascii="Arial" w:hAnsi="Arial" w:cs="Arial"/>
        </w:rPr>
        <w:t xml:space="preserve"> </w:t>
      </w:r>
    </w:p>
    <w:p w14:paraId="73EB4F2C" w14:textId="0EA16FB1"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Federal Decree-Law No. 45 of 2021 on the Protection of Personal Data (United Arab Emirates). </w:t>
      </w:r>
      <w:hyperlink r:id="rId27" w:history="1">
        <w:r w:rsidR="00995074" w:rsidRPr="008441F4">
          <w:rPr>
            <w:rStyle w:val="Hyperlink"/>
            <w:rFonts w:ascii="Arial" w:hAnsi="Arial" w:cs="Arial"/>
          </w:rPr>
          <w:t>https://u.ae/en/about-the-uae/digital-uae/data/data-protection-laws</w:t>
        </w:r>
      </w:hyperlink>
      <w:r w:rsidR="00995074" w:rsidRPr="008441F4">
        <w:rPr>
          <w:rFonts w:ascii="Arial" w:hAnsi="Arial" w:cs="Arial"/>
        </w:rPr>
        <w:t xml:space="preserve"> </w:t>
      </w:r>
    </w:p>
    <w:p w14:paraId="254932E9" w14:textId="49D99B7A"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Federal Law No. 2 of 2019 concerning the Use of Information and Communication Technology in the Areas of Health (United Arab Emirates). </w:t>
      </w:r>
      <w:hyperlink r:id="rId28" w:history="1">
        <w:r w:rsidR="00995074" w:rsidRPr="008441F4">
          <w:rPr>
            <w:rStyle w:val="Hyperlink"/>
            <w:rFonts w:ascii="Arial" w:hAnsi="Arial" w:cs="Arial"/>
          </w:rPr>
          <w:t>https://uaelegislation.gov.ae/en/legislations/1204</w:t>
        </w:r>
      </w:hyperlink>
      <w:r w:rsidR="00995074" w:rsidRPr="008441F4">
        <w:rPr>
          <w:rFonts w:ascii="Arial" w:hAnsi="Arial" w:cs="Arial"/>
        </w:rPr>
        <w:t xml:space="preserve"> </w:t>
      </w:r>
    </w:p>
    <w:p w14:paraId="0432EC17" w14:textId="30438DEF"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Fierce Healthcare. (2026, July 15). Full-body scan startup Neko Health scores $700M to break into the U.S. market. </w:t>
      </w:r>
      <w:hyperlink r:id="rId29" w:history="1">
        <w:r w:rsidR="00995074" w:rsidRPr="008441F4">
          <w:rPr>
            <w:rStyle w:val="Hyperlink"/>
            <w:rFonts w:ascii="Arial" w:hAnsi="Arial" w:cs="Arial"/>
          </w:rPr>
          <w:t>https://www.fiercehealthcare.com/health-tech/full-body-scan-startup-neko-health-scores-700m-break-us-market</w:t>
        </w:r>
      </w:hyperlink>
      <w:r w:rsidR="00995074" w:rsidRPr="008441F4">
        <w:rPr>
          <w:rFonts w:ascii="Arial" w:hAnsi="Arial" w:cs="Arial"/>
        </w:rPr>
        <w:t xml:space="preserve"> </w:t>
      </w:r>
    </w:p>
    <w:p w14:paraId="3097E0DC" w14:textId="15CAC291"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Financial Times. (2026, July 14). Daniel Ek’s body-scanning start-up raises $700mn for US push. </w:t>
      </w:r>
      <w:hyperlink r:id="rId30" w:history="1">
        <w:r w:rsidR="00995074" w:rsidRPr="008441F4">
          <w:rPr>
            <w:rStyle w:val="Hyperlink"/>
            <w:rFonts w:ascii="Arial" w:hAnsi="Arial" w:cs="Arial"/>
          </w:rPr>
          <w:t>https://www.ft.com/content/88eb7796-b3f7-419c-9091-b4dd84b57893</w:t>
        </w:r>
      </w:hyperlink>
      <w:r w:rsidR="00995074" w:rsidRPr="008441F4">
        <w:rPr>
          <w:rFonts w:ascii="Arial" w:hAnsi="Arial" w:cs="Arial"/>
        </w:rPr>
        <w:t xml:space="preserve"> </w:t>
      </w:r>
    </w:p>
    <w:p w14:paraId="4D9A1BBB" w14:textId="5CEDAF3B"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Fortune. (2026, April 20). UAE officials reportedly warned they may be forced to use yuan or other currencies if they run low on dollars amid the Iran war. </w:t>
      </w:r>
      <w:hyperlink r:id="rId31" w:history="1">
        <w:r w:rsidR="00995074" w:rsidRPr="008441F4">
          <w:rPr>
            <w:rStyle w:val="Hyperlink"/>
            <w:rFonts w:ascii="Arial" w:hAnsi="Arial" w:cs="Arial"/>
          </w:rPr>
          <w:t>https://fortune.com/2026/04/20/uae-central-bank-dollar-lifeline-fed-treasury-currency-swap-chinese-yuan-iran-war/</w:t>
        </w:r>
      </w:hyperlink>
      <w:r w:rsidR="00995074" w:rsidRPr="008441F4">
        <w:rPr>
          <w:rFonts w:ascii="Arial" w:hAnsi="Arial" w:cs="Arial"/>
        </w:rPr>
        <w:t xml:space="preserve"> </w:t>
      </w:r>
    </w:p>
    <w:p w14:paraId="2C26BD89" w14:textId="764AE3CD"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Frontiers in Public Health. (2025). Health quality management practises for cardiovascular diseases, diabetes, and obesity care in the UAE: A scoping review. </w:t>
      </w:r>
      <w:hyperlink r:id="rId32" w:history="1">
        <w:r w:rsidR="00995074" w:rsidRPr="008441F4">
          <w:rPr>
            <w:rStyle w:val="Hyperlink"/>
            <w:rFonts w:ascii="Arial" w:hAnsi="Arial" w:cs="Arial"/>
          </w:rPr>
          <w:t>https://doi.org/10.3389/fpubh.2025.1703376</w:t>
        </w:r>
      </w:hyperlink>
      <w:r w:rsidR="00995074" w:rsidRPr="008441F4">
        <w:rPr>
          <w:rFonts w:ascii="Arial" w:hAnsi="Arial" w:cs="Arial"/>
        </w:rPr>
        <w:t xml:space="preserve"> </w:t>
      </w:r>
    </w:p>
    <w:p w14:paraId="6541FA1F" w14:textId="04DC9F95"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Gartenberg, C., Prat, A., &amp; Serafeim, G. (2019). Corporate purpose and financial performance. Organization Science, 30(1), 1–18. </w:t>
      </w:r>
      <w:hyperlink r:id="rId33" w:history="1">
        <w:r w:rsidR="00995074" w:rsidRPr="008441F4">
          <w:rPr>
            <w:rStyle w:val="Hyperlink"/>
            <w:rFonts w:ascii="Arial" w:hAnsi="Arial" w:cs="Arial"/>
          </w:rPr>
          <w:t>https://doi.org/10.1287/orsc.2018.1230</w:t>
        </w:r>
      </w:hyperlink>
      <w:r w:rsidR="00995074" w:rsidRPr="008441F4">
        <w:rPr>
          <w:rFonts w:ascii="Arial" w:hAnsi="Arial" w:cs="Arial"/>
        </w:rPr>
        <w:t xml:space="preserve"> </w:t>
      </w:r>
    </w:p>
    <w:p w14:paraId="2F2570CC" w14:textId="26BC2A31"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Ghadge, A., Weiß, M., Caldwell, N. D., &amp; Wilding, R. (2020). Managing cyber risk in supply chains: A review and research agenda. Supply Chain Management, 25(2), 223–240. </w:t>
      </w:r>
      <w:hyperlink r:id="rId34" w:history="1">
        <w:r w:rsidR="00995074" w:rsidRPr="008441F4">
          <w:rPr>
            <w:rStyle w:val="Hyperlink"/>
            <w:rFonts w:ascii="Arial" w:hAnsi="Arial" w:cs="Arial"/>
          </w:rPr>
          <w:t>https://doi.org/10.1108/SCM-10-2018-0357</w:t>
        </w:r>
      </w:hyperlink>
      <w:r w:rsidR="00995074" w:rsidRPr="008441F4">
        <w:rPr>
          <w:rFonts w:ascii="Arial" w:hAnsi="Arial" w:cs="Arial"/>
        </w:rPr>
        <w:t xml:space="preserve"> </w:t>
      </w:r>
    </w:p>
    <w:p w14:paraId="21C0640A" w14:textId="4EE811CD"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Global Media Insight. (2026). United Arab Emirates (UAE) population statistics 2026. </w:t>
      </w:r>
      <w:hyperlink r:id="rId35" w:history="1">
        <w:r w:rsidR="00995074" w:rsidRPr="008441F4">
          <w:rPr>
            <w:rStyle w:val="Hyperlink"/>
            <w:rFonts w:ascii="Arial" w:hAnsi="Arial" w:cs="Arial"/>
          </w:rPr>
          <w:t>https://www.globalmediainsight.com/blog/uae-population-statistics/</w:t>
        </w:r>
      </w:hyperlink>
      <w:r w:rsidR="00995074" w:rsidRPr="008441F4">
        <w:rPr>
          <w:rFonts w:ascii="Arial" w:hAnsi="Arial" w:cs="Arial"/>
        </w:rPr>
        <w:t xml:space="preserve"> </w:t>
      </w:r>
    </w:p>
    <w:p w14:paraId="6CCAA6E0" w14:textId="50A803CD"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lastRenderedPageBreak/>
        <w:t xml:space="preserve">Henisz, W. J. (2000). The institutional environment for multinational investment. The Journal of Law, Economics, and Organization, 16(2), 334–364. </w:t>
      </w:r>
      <w:hyperlink r:id="rId36" w:history="1">
        <w:r w:rsidR="00995074" w:rsidRPr="008441F4">
          <w:rPr>
            <w:rStyle w:val="Hyperlink"/>
            <w:rFonts w:ascii="Arial" w:hAnsi="Arial" w:cs="Arial"/>
          </w:rPr>
          <w:t>https://doi.org/10.1093/jleo/16.2.334</w:t>
        </w:r>
      </w:hyperlink>
      <w:r w:rsidR="00995074" w:rsidRPr="008441F4">
        <w:rPr>
          <w:rFonts w:ascii="Arial" w:hAnsi="Arial" w:cs="Arial"/>
        </w:rPr>
        <w:t xml:space="preserve"> </w:t>
      </w:r>
    </w:p>
    <w:p w14:paraId="3570D803" w14:textId="77777777"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INNOCOS Longevity Summit. (2025). INNOCOS Longevity Summit Dubai 2025. INNOCOS. https://innocosevents.com/summits/dubai-event/</w:t>
      </w:r>
    </w:p>
    <w:p w14:paraId="451BAF80" w14:textId="23A6CCE6"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Ivanov, D., &amp; Dolgui, A. (2020). Viability of intertwined supply networks: Extending the supply chain resilience angles towards survivability. A position paper motivated by COVID-19 outbreak. International Journal of Production Research, 58(10), 2904–2915. </w:t>
      </w:r>
      <w:hyperlink r:id="rId37" w:history="1">
        <w:r w:rsidR="00995074" w:rsidRPr="008441F4">
          <w:rPr>
            <w:rStyle w:val="Hyperlink"/>
            <w:rFonts w:ascii="Arial" w:hAnsi="Arial" w:cs="Arial"/>
          </w:rPr>
          <w:t>https://doi.org/10.1080/00207543.2020.1750727</w:t>
        </w:r>
      </w:hyperlink>
      <w:r w:rsidR="00995074" w:rsidRPr="008441F4">
        <w:rPr>
          <w:rFonts w:ascii="Arial" w:hAnsi="Arial" w:cs="Arial"/>
        </w:rPr>
        <w:t xml:space="preserve"> </w:t>
      </w:r>
    </w:p>
    <w:p w14:paraId="726907B0" w14:textId="6910D6D7"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JLL. (2026, May 21). The UAE’s blueprint for living healthier for longer. </w:t>
      </w:r>
      <w:hyperlink r:id="rId38" w:history="1">
        <w:r w:rsidR="00995074" w:rsidRPr="008441F4">
          <w:rPr>
            <w:rStyle w:val="Hyperlink"/>
            <w:rFonts w:ascii="Arial" w:hAnsi="Arial" w:cs="Arial"/>
          </w:rPr>
          <w:t>https://www.jll.com/en-us/insights/the-uaes-blueprint-for-living-healthier-for-longer</w:t>
        </w:r>
      </w:hyperlink>
      <w:r w:rsidR="00995074" w:rsidRPr="008441F4">
        <w:rPr>
          <w:rFonts w:ascii="Arial" w:hAnsi="Arial" w:cs="Arial"/>
        </w:rPr>
        <w:t xml:space="preserve"> </w:t>
      </w:r>
    </w:p>
    <w:p w14:paraId="16EAEF37" w14:textId="55552E31"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Kayrouz &amp; Associates. (2026). Healthcare facility licensing in the UAE (2026). </w:t>
      </w:r>
      <w:hyperlink r:id="rId39" w:history="1">
        <w:r w:rsidR="00995074" w:rsidRPr="008441F4">
          <w:rPr>
            <w:rStyle w:val="Hyperlink"/>
            <w:rFonts w:ascii="Arial" w:hAnsi="Arial" w:cs="Arial"/>
          </w:rPr>
          <w:t>https://www.kayrouzandassociates.com/insights/uae-healthcare-facility-licence-guide</w:t>
        </w:r>
      </w:hyperlink>
      <w:r w:rsidR="00995074" w:rsidRPr="008441F4">
        <w:rPr>
          <w:rFonts w:ascii="Arial" w:hAnsi="Arial" w:cs="Arial"/>
        </w:rPr>
        <w:t xml:space="preserve"> </w:t>
      </w:r>
    </w:p>
    <w:p w14:paraId="4DE7BF10" w14:textId="1AE619DA"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Kogut, B., &amp; Kulatilaka, N. (1994). Operating flexibility, global manufacturing, and the option value of a multinational network. Management Science, 40(1), 123–139. </w:t>
      </w:r>
      <w:hyperlink r:id="rId40" w:history="1">
        <w:r w:rsidR="00995074" w:rsidRPr="008441F4">
          <w:rPr>
            <w:rStyle w:val="Hyperlink"/>
            <w:rFonts w:ascii="Arial" w:hAnsi="Arial" w:cs="Arial"/>
          </w:rPr>
          <w:t>https://doi.org/10.1287/mnsc.40.1.123</w:t>
        </w:r>
      </w:hyperlink>
      <w:r w:rsidR="00995074" w:rsidRPr="008441F4">
        <w:rPr>
          <w:rFonts w:ascii="Arial" w:hAnsi="Arial" w:cs="Arial"/>
        </w:rPr>
        <w:t xml:space="preserve"> </w:t>
      </w:r>
    </w:p>
    <w:p w14:paraId="4E99977D" w14:textId="4E56B0FC"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Kostova, T., &amp; Zaheer, S. (1999). Organizational legitimacy under conditions of complexity: The case of the multinational enterprise. Academy of Management Review, 24(1), 64–81. </w:t>
      </w:r>
      <w:hyperlink r:id="rId41" w:history="1">
        <w:r w:rsidR="00995074" w:rsidRPr="008441F4">
          <w:rPr>
            <w:rStyle w:val="Hyperlink"/>
            <w:rFonts w:ascii="Arial" w:hAnsi="Arial" w:cs="Arial"/>
          </w:rPr>
          <w:t>https://doi.org/10.5465/amr.1999.1580441</w:t>
        </w:r>
      </w:hyperlink>
      <w:r w:rsidR="00995074" w:rsidRPr="008441F4">
        <w:rPr>
          <w:rFonts w:ascii="Arial" w:hAnsi="Arial" w:cs="Arial"/>
        </w:rPr>
        <w:t xml:space="preserve"> </w:t>
      </w:r>
    </w:p>
    <w:p w14:paraId="7555659B" w14:textId="6E8A95B3"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LexisNexis. (2025). UAE: Mandatory health insurance, starting 1 January 2025. </w:t>
      </w:r>
      <w:hyperlink r:id="rId42" w:history="1">
        <w:r w:rsidR="00995074" w:rsidRPr="008441F4">
          <w:rPr>
            <w:rStyle w:val="Hyperlink"/>
            <w:rFonts w:ascii="Arial" w:hAnsi="Arial" w:cs="Arial"/>
          </w:rPr>
          <w:t>https://www.lexisnexis.com/blogs/ae-legal/b/insights/posts/uae-mandatory-health-insurance-starting-1-january-2025</w:t>
        </w:r>
      </w:hyperlink>
      <w:r w:rsidR="00995074" w:rsidRPr="008441F4">
        <w:rPr>
          <w:rFonts w:ascii="Arial" w:hAnsi="Arial" w:cs="Arial"/>
        </w:rPr>
        <w:t xml:space="preserve"> </w:t>
      </w:r>
    </w:p>
    <w:p w14:paraId="6827EB49" w14:textId="0EA8F2D6"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Ministerial Resolution No. 51 of 2021 regarding the cases in which health data and information may be stored or transferred outside the State (United Arab Emirates). Ministry of Health and Prevention. </w:t>
      </w:r>
      <w:r w:rsidR="00995074" w:rsidRPr="008441F4">
        <w:rPr>
          <w:rFonts w:ascii="Arial" w:hAnsi="Arial" w:cs="Arial"/>
        </w:rPr>
        <w:t xml:space="preserve"> </w:t>
      </w:r>
      <w:hyperlink r:id="rId43" w:history="1">
        <w:r w:rsidR="00995074" w:rsidRPr="008441F4">
          <w:rPr>
            <w:rStyle w:val="Hyperlink"/>
            <w:rFonts w:ascii="Arial" w:hAnsi="Arial" w:cs="Arial"/>
          </w:rPr>
          <w:t>https://mohap.gov.ae/en/w/ministerial-decree-no.-51-of-the-year-2021-regarding-cases-in-which-health-data-and-information-may-be-stored-or-transferred-outside-the-country</w:t>
        </w:r>
      </w:hyperlink>
      <w:r w:rsidR="00995074" w:rsidRPr="008441F4">
        <w:rPr>
          <w:rFonts w:ascii="Arial" w:hAnsi="Arial" w:cs="Arial"/>
        </w:rPr>
        <w:t xml:space="preserve"> </w:t>
      </w:r>
    </w:p>
    <w:p w14:paraId="5E7A32A6" w14:textId="1EF13F2E"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Neelim Healthcare Consulting. (2026, April 9). DHCC license vs DHA license: Dubai Healthcare City explained. </w:t>
      </w:r>
      <w:hyperlink r:id="rId44" w:history="1">
        <w:r w:rsidR="00995074" w:rsidRPr="008441F4">
          <w:rPr>
            <w:rStyle w:val="Hyperlink"/>
            <w:rFonts w:ascii="Arial" w:hAnsi="Arial" w:cs="Arial"/>
          </w:rPr>
          <w:t>https://www.neelim.com/blog/dhcc-license-explained-dha-difference</w:t>
        </w:r>
      </w:hyperlink>
      <w:r w:rsidR="00995074" w:rsidRPr="008441F4">
        <w:rPr>
          <w:rFonts w:ascii="Arial" w:hAnsi="Arial" w:cs="Arial"/>
        </w:rPr>
        <w:t xml:space="preserve"> </w:t>
      </w:r>
    </w:p>
    <w:p w14:paraId="10F5F00F" w14:textId="05C336B6"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Neko Health. (2026a). About us. </w:t>
      </w:r>
      <w:hyperlink r:id="rId45" w:history="1">
        <w:r w:rsidR="00995074" w:rsidRPr="008441F4">
          <w:rPr>
            <w:rStyle w:val="Hyperlink"/>
            <w:rFonts w:ascii="Arial" w:hAnsi="Arial" w:cs="Arial"/>
          </w:rPr>
          <w:t>https://www.nekohealth.com/gb/en/about</w:t>
        </w:r>
      </w:hyperlink>
      <w:r w:rsidR="00995074" w:rsidRPr="008441F4">
        <w:rPr>
          <w:rFonts w:ascii="Arial" w:hAnsi="Arial" w:cs="Arial"/>
        </w:rPr>
        <w:t xml:space="preserve"> </w:t>
      </w:r>
    </w:p>
    <w:p w14:paraId="46073C8D" w14:textId="78C28AD7"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Neko Health. (2026b). Neko Health raises $700m Series C ahead of US launch. </w:t>
      </w:r>
      <w:hyperlink r:id="rId46" w:history="1">
        <w:r w:rsidR="00995074" w:rsidRPr="008441F4">
          <w:rPr>
            <w:rStyle w:val="Hyperlink"/>
            <w:rFonts w:ascii="Arial" w:hAnsi="Arial" w:cs="Arial"/>
          </w:rPr>
          <w:t>https://www.nekohealth.com/us/en/press/neko-health-raises-usd700m-series-c-ahead-of-us-launch</w:t>
        </w:r>
      </w:hyperlink>
      <w:r w:rsidR="00995074" w:rsidRPr="008441F4">
        <w:rPr>
          <w:rFonts w:ascii="Arial" w:hAnsi="Arial" w:cs="Arial"/>
        </w:rPr>
        <w:t xml:space="preserve"> </w:t>
      </w:r>
    </w:p>
    <w:p w14:paraId="1EAAC38B" w14:textId="4974D7C7"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NPR. (2026, April 6). Medical supplies stuck as Iran war snarls shipping in the Strait of Hormuz. </w:t>
      </w:r>
      <w:hyperlink r:id="rId47" w:history="1">
        <w:r w:rsidR="00995074" w:rsidRPr="008441F4">
          <w:rPr>
            <w:rStyle w:val="Hyperlink"/>
            <w:rFonts w:ascii="Arial" w:hAnsi="Arial" w:cs="Arial"/>
          </w:rPr>
          <w:t>https://www.npr.org/2026/04/06/nx-s1-5775543/medical-supplies-stuck-dubai-clinics-world-face-shortages</w:t>
        </w:r>
      </w:hyperlink>
      <w:r w:rsidR="00995074" w:rsidRPr="008441F4">
        <w:rPr>
          <w:rFonts w:ascii="Arial" w:hAnsi="Arial" w:cs="Arial"/>
        </w:rPr>
        <w:t xml:space="preserve"> </w:t>
      </w:r>
    </w:p>
    <w:p w14:paraId="181C6891" w14:textId="3F56E2D2"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Oetzel, J., &amp; Oh, C. H. (2014). Learning to carry the cat by the tail: Firm experience, disasters, and multinational subsidiary entry and expansion. Organization Science, 25(3), 732–756. </w:t>
      </w:r>
      <w:hyperlink r:id="rId48" w:history="1">
        <w:r w:rsidR="00995074" w:rsidRPr="008441F4">
          <w:rPr>
            <w:rStyle w:val="Hyperlink"/>
            <w:rFonts w:ascii="Arial" w:hAnsi="Arial" w:cs="Arial"/>
          </w:rPr>
          <w:t>https://doi.org/10.1287/orsc.2013.0860</w:t>
        </w:r>
      </w:hyperlink>
      <w:r w:rsidR="00995074" w:rsidRPr="008441F4">
        <w:rPr>
          <w:rFonts w:ascii="Arial" w:hAnsi="Arial" w:cs="Arial"/>
        </w:rPr>
        <w:t xml:space="preserve"> </w:t>
      </w:r>
    </w:p>
    <w:p w14:paraId="14E43794" w14:textId="73740330"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Okunogbe, A., Nugent, R., Spencer, G., Powis, J., Ralston, J., &amp; Wilding, J. (2022). Economic impacts of overweight and obesity: Current and future estimates for 161 countries. BMJ Global Health, 7(9), e009773. </w:t>
      </w:r>
      <w:hyperlink r:id="rId49" w:history="1">
        <w:r w:rsidR="00995074" w:rsidRPr="008441F4">
          <w:rPr>
            <w:rStyle w:val="Hyperlink"/>
            <w:rFonts w:ascii="Arial" w:hAnsi="Arial" w:cs="Arial"/>
          </w:rPr>
          <w:t>https://doi.org/10.1136/bmjgh-2022-009773</w:t>
        </w:r>
      </w:hyperlink>
      <w:r w:rsidR="00995074" w:rsidRPr="008441F4">
        <w:rPr>
          <w:rFonts w:ascii="Arial" w:hAnsi="Arial" w:cs="Arial"/>
        </w:rPr>
        <w:t xml:space="preserve"> </w:t>
      </w:r>
    </w:p>
    <w:p w14:paraId="1234E563" w14:textId="1A55FEA1"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lastRenderedPageBreak/>
        <w:t xml:space="preserve">Peng, M. W., Wang, D. Y. L., &amp; Jiang, Y. (2008). An institution-based view of international business strategy: A focus on emerging economies. Journal of International Business Studies, 39(5), 920–936. </w:t>
      </w:r>
      <w:hyperlink r:id="rId50" w:history="1">
        <w:r w:rsidR="00995074" w:rsidRPr="008441F4">
          <w:rPr>
            <w:rStyle w:val="Hyperlink"/>
            <w:rFonts w:ascii="Arial" w:hAnsi="Arial" w:cs="Arial"/>
          </w:rPr>
          <w:t>https://doi.org/10.1057/palgrave.jibs.8400377</w:t>
        </w:r>
      </w:hyperlink>
      <w:r w:rsidR="00995074" w:rsidRPr="008441F4">
        <w:rPr>
          <w:rFonts w:ascii="Arial" w:hAnsi="Arial" w:cs="Arial"/>
        </w:rPr>
        <w:t xml:space="preserve"> </w:t>
      </w:r>
    </w:p>
    <w:p w14:paraId="1250B86C" w14:textId="2E50C9CA"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Stallkamp, M., &amp; Schotter, A. P. J. (2021). Platforms without borders? The international strategies of digital platform firms. Global Strategy Journal, 11(1), 58–80. </w:t>
      </w:r>
      <w:hyperlink r:id="rId51" w:history="1">
        <w:r w:rsidR="00995074" w:rsidRPr="008441F4">
          <w:rPr>
            <w:rStyle w:val="Hyperlink"/>
            <w:rFonts w:ascii="Arial" w:hAnsi="Arial" w:cs="Arial"/>
          </w:rPr>
          <w:t>https://doi.org/10.1002/gsj.1336</w:t>
        </w:r>
      </w:hyperlink>
      <w:r w:rsidR="00995074" w:rsidRPr="008441F4">
        <w:rPr>
          <w:rFonts w:ascii="Arial" w:hAnsi="Arial" w:cs="Arial"/>
        </w:rPr>
        <w:t xml:space="preserve"> </w:t>
      </w:r>
    </w:p>
    <w:p w14:paraId="3DBFB637" w14:textId="1741A848"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Suchman, M. C. (1995). Managing legitimacy: Strategic and institutional approaches. Academy of Management Review, 20(3), 571–610. </w:t>
      </w:r>
      <w:hyperlink r:id="rId52" w:history="1">
        <w:r w:rsidR="00995074" w:rsidRPr="008441F4">
          <w:rPr>
            <w:rStyle w:val="Hyperlink"/>
            <w:rFonts w:ascii="Arial" w:hAnsi="Arial" w:cs="Arial"/>
          </w:rPr>
          <w:t>https://doi.org/10.5465/amr.1995.9508080331</w:t>
        </w:r>
      </w:hyperlink>
      <w:r w:rsidR="00995074" w:rsidRPr="008441F4">
        <w:rPr>
          <w:rFonts w:ascii="Arial" w:hAnsi="Arial" w:cs="Arial"/>
        </w:rPr>
        <w:t xml:space="preserve"> </w:t>
      </w:r>
    </w:p>
    <w:p w14:paraId="7EBE318C" w14:textId="6198A0AF"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Tech Times. (2026, August 10). UAE fends off third sector-targeting cyberattack of 2026; finance first, now aviation, energy. </w:t>
      </w:r>
      <w:hyperlink r:id="rId53" w:history="1">
        <w:r w:rsidR="00995074" w:rsidRPr="008441F4">
          <w:rPr>
            <w:rStyle w:val="Hyperlink"/>
            <w:rFonts w:ascii="Arial" w:hAnsi="Arial" w:cs="Arial"/>
          </w:rPr>
          <w:t>https://www.techtimes.com/articles/323799/20260810/uae-fends-off-third-sector-targeting-cyberattack-2026-finance-first- now-aviation-energy.htm</w:t>
        </w:r>
      </w:hyperlink>
      <w:r w:rsidR="00995074" w:rsidRPr="008441F4">
        <w:rPr>
          <w:rFonts w:ascii="Arial" w:hAnsi="Arial" w:cs="Arial"/>
        </w:rPr>
        <w:t xml:space="preserve"> </w:t>
      </w:r>
    </w:p>
    <w:p w14:paraId="617FB255" w14:textId="7B505CA7"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Teece, D. J. (2018). Business models and dynamic capabilities. Long Range Planning, 51(1), 40–49. </w:t>
      </w:r>
      <w:hyperlink r:id="rId54" w:history="1">
        <w:r w:rsidR="00995074" w:rsidRPr="008441F4">
          <w:rPr>
            <w:rStyle w:val="Hyperlink"/>
            <w:rFonts w:ascii="Arial" w:hAnsi="Arial" w:cs="Arial"/>
          </w:rPr>
          <w:t>https://doi.org/10.1016/j.lrp.2017.06.007</w:t>
        </w:r>
      </w:hyperlink>
      <w:r w:rsidR="00995074" w:rsidRPr="008441F4">
        <w:rPr>
          <w:rFonts w:ascii="Arial" w:hAnsi="Arial" w:cs="Arial"/>
        </w:rPr>
        <w:t xml:space="preserve"> </w:t>
      </w:r>
    </w:p>
    <w:p w14:paraId="7AE9450F" w14:textId="700E4B8B"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The National. (2026, April 10). Iranian cyber attacks move from disruptive to complex threats in Gulf. </w:t>
      </w:r>
      <w:r w:rsidR="00995074" w:rsidRPr="008441F4">
        <w:rPr>
          <w:rFonts w:ascii="Arial" w:hAnsi="Arial" w:cs="Arial"/>
        </w:rPr>
        <w:t xml:space="preserve"> </w:t>
      </w:r>
      <w:hyperlink r:id="rId55" w:history="1">
        <w:r w:rsidR="00995074" w:rsidRPr="008441F4">
          <w:rPr>
            <w:rStyle w:val="Hyperlink"/>
            <w:rFonts w:ascii="Arial" w:hAnsi="Arial" w:cs="Arial"/>
          </w:rPr>
          <w:t>https://www.thenationalnews.com/future/technology/2026/04/10/iranian-cyber-attacks-move-from-disruptive-to-complex-threats-in-gulf/</w:t>
        </w:r>
      </w:hyperlink>
      <w:r w:rsidR="00995074" w:rsidRPr="008441F4">
        <w:rPr>
          <w:rFonts w:ascii="Arial" w:hAnsi="Arial" w:cs="Arial"/>
        </w:rPr>
        <w:t xml:space="preserve"> </w:t>
      </w:r>
    </w:p>
    <w:p w14:paraId="68FC3300" w14:textId="1F86195E"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World Longevity Clinics. (2026, June 12). Best longevity clinics in Dubai and the UAE (2026 guide). </w:t>
      </w:r>
      <w:hyperlink r:id="rId56" w:history="1">
        <w:r w:rsidR="00995074" w:rsidRPr="008441F4">
          <w:rPr>
            <w:rStyle w:val="Hyperlink"/>
            <w:rFonts w:ascii="Arial" w:hAnsi="Arial" w:cs="Arial"/>
          </w:rPr>
          <w:t>https://worldlongevityclinics.com/news/best-longevity-clinics-dubai-uae-2026/</w:t>
        </w:r>
      </w:hyperlink>
      <w:r w:rsidR="00995074" w:rsidRPr="008441F4">
        <w:rPr>
          <w:rFonts w:ascii="Arial" w:hAnsi="Arial" w:cs="Arial"/>
        </w:rPr>
        <w:t xml:space="preserve"> </w:t>
      </w:r>
    </w:p>
    <w:p w14:paraId="2E3D6AF5" w14:textId="43E1B085" w:rsidR="00F716F6" w:rsidRPr="008441F4" w:rsidRDefault="00F716F6" w:rsidP="00995074">
      <w:pPr>
        <w:pStyle w:val="BodyText"/>
        <w:spacing w:before="0" w:after="0"/>
        <w:ind w:left="567" w:hanging="567"/>
        <w:jc w:val="left"/>
        <w:rPr>
          <w:rFonts w:ascii="Arial" w:hAnsi="Arial" w:cs="Arial"/>
        </w:rPr>
      </w:pPr>
      <w:r w:rsidRPr="008441F4">
        <w:rPr>
          <w:rFonts w:ascii="Arial" w:hAnsi="Arial" w:cs="Arial"/>
        </w:rPr>
        <w:t xml:space="preserve">Zawya. (2026, July 13). Longevium launches 3 clinics in Dubai, unveiling a new clinical model for healthy aging. </w:t>
      </w:r>
      <w:hyperlink r:id="rId57" w:history="1">
        <w:r w:rsidR="00995074" w:rsidRPr="008441F4">
          <w:rPr>
            <w:rStyle w:val="Hyperlink"/>
            <w:rFonts w:ascii="Arial" w:hAnsi="Arial" w:cs="Arial"/>
          </w:rPr>
          <w:t>https://www.zawya.com/en/press-release/companies-news/longevium-launches-3-clinics-in-dubai-unveiling-a-new-clinical-model-for-healthy-aging-400648</w:t>
        </w:r>
      </w:hyperlink>
      <w:r w:rsidR="00995074" w:rsidRPr="008441F4">
        <w:rPr>
          <w:rFonts w:ascii="Arial" w:hAnsi="Arial" w:cs="Arial"/>
        </w:rPr>
        <w:t xml:space="preserve"> </w:t>
      </w:r>
    </w:p>
    <w:p w14:paraId="721E35DB" w14:textId="77777777" w:rsidR="00F716F6" w:rsidRPr="008441F4" w:rsidRDefault="00F716F6" w:rsidP="00F716F6">
      <w:pPr>
        <w:rPr>
          <w:rFonts w:cs="Arial"/>
        </w:rPr>
      </w:pPr>
    </w:p>
    <w:p w14:paraId="544ED77C" w14:textId="34E3D25B" w:rsidR="006D7BD7" w:rsidRPr="008441F4" w:rsidRDefault="006D7BD7" w:rsidP="00F716F6">
      <w:pPr>
        <w:pStyle w:val="Heading2"/>
        <w:spacing w:before="0" w:after="0" w:line="276" w:lineRule="auto"/>
        <w:rPr>
          <w:rFonts w:cs="Arial"/>
          <w:szCs w:val="24"/>
        </w:rPr>
      </w:pPr>
      <w:bookmarkStart w:id="32" w:name="_Toc237314150"/>
      <w:r w:rsidRPr="008441F4">
        <w:rPr>
          <w:rFonts w:cs="Arial"/>
          <w:szCs w:val="24"/>
        </w:rPr>
        <w:t>Appendix: Declaration of AI Use</w:t>
      </w:r>
      <w:bookmarkEnd w:id="32"/>
    </w:p>
    <w:p w14:paraId="6FADA070" w14:textId="77777777" w:rsidR="006D7BD7" w:rsidRPr="008441F4" w:rsidRDefault="006D7BD7" w:rsidP="006D7BD7">
      <w:pPr>
        <w:pStyle w:val="FirstParagraph"/>
        <w:spacing w:line="276" w:lineRule="auto"/>
        <w:rPr>
          <w:rFonts w:ascii="Arial" w:hAnsi="Arial" w:cs="Arial"/>
        </w:rPr>
      </w:pPr>
      <w:r w:rsidRPr="008441F4">
        <w:rPr>
          <w:rFonts w:ascii="Arial" w:hAnsi="Arial" w:cs="Arial"/>
          <w:i/>
        </w:rPr>
        <w:t xml:space="preserve">Classification: Amber — AI Assisted (QUILT Guidance). </w:t>
      </w:r>
    </w:p>
    <w:tbl>
      <w:tblPr>
        <w:tblStyle w:val="TableGrid1"/>
        <w:tblW w:w="5000" w:type="pct"/>
        <w:tblLook w:val="07E0" w:firstRow="1" w:lastRow="1" w:firstColumn="1" w:lastColumn="1" w:noHBand="1" w:noVBand="1"/>
      </w:tblPr>
      <w:tblGrid>
        <w:gridCol w:w="1513"/>
        <w:gridCol w:w="3623"/>
        <w:gridCol w:w="3126"/>
      </w:tblGrid>
      <w:tr w:rsidR="006D7BD7" w:rsidRPr="008441F4" w14:paraId="55007E35" w14:textId="77777777" w:rsidTr="006766AD">
        <w:tc>
          <w:tcPr>
            <w:tcW w:w="0" w:type="auto"/>
          </w:tcPr>
          <w:p w14:paraId="72F0EB36" w14:textId="77777777" w:rsidR="006D7BD7" w:rsidRPr="008441F4" w:rsidRDefault="006D7BD7" w:rsidP="006766AD">
            <w:pPr>
              <w:pStyle w:val="Compact"/>
              <w:spacing w:line="276" w:lineRule="auto"/>
              <w:rPr>
                <w:rFonts w:ascii="Arial" w:hAnsi="Arial" w:cs="Arial"/>
                <w:b/>
                <w:bCs/>
                <w:sz w:val="24"/>
                <w:szCs w:val="24"/>
              </w:rPr>
            </w:pPr>
            <w:r w:rsidRPr="008441F4">
              <w:rPr>
                <w:rFonts w:ascii="Arial" w:hAnsi="Arial" w:cs="Arial"/>
                <w:b/>
                <w:bCs/>
                <w:sz w:val="24"/>
                <w:szCs w:val="24"/>
              </w:rPr>
              <w:t>Tool</w:t>
            </w:r>
          </w:p>
        </w:tc>
        <w:tc>
          <w:tcPr>
            <w:tcW w:w="0" w:type="auto"/>
          </w:tcPr>
          <w:p w14:paraId="1F7C607E" w14:textId="77777777" w:rsidR="006D7BD7" w:rsidRPr="008441F4" w:rsidRDefault="006D7BD7" w:rsidP="008F1897">
            <w:pPr>
              <w:pStyle w:val="Compact"/>
              <w:spacing w:line="276" w:lineRule="auto"/>
              <w:jc w:val="left"/>
              <w:rPr>
                <w:rFonts w:ascii="Arial" w:hAnsi="Arial" w:cs="Arial"/>
                <w:b/>
                <w:bCs/>
                <w:sz w:val="24"/>
                <w:szCs w:val="24"/>
              </w:rPr>
            </w:pPr>
            <w:r w:rsidRPr="008441F4">
              <w:rPr>
                <w:rFonts w:ascii="Arial" w:hAnsi="Arial" w:cs="Arial"/>
                <w:b/>
                <w:bCs/>
                <w:sz w:val="24"/>
                <w:szCs w:val="24"/>
              </w:rPr>
              <w:t>How it was used in this assignment</w:t>
            </w:r>
          </w:p>
        </w:tc>
        <w:tc>
          <w:tcPr>
            <w:tcW w:w="0" w:type="auto"/>
          </w:tcPr>
          <w:p w14:paraId="018E8E94" w14:textId="77777777" w:rsidR="006D7BD7" w:rsidRPr="008441F4" w:rsidRDefault="006D7BD7" w:rsidP="006766AD">
            <w:pPr>
              <w:pStyle w:val="Compact"/>
              <w:spacing w:line="276" w:lineRule="auto"/>
              <w:rPr>
                <w:rFonts w:ascii="Arial" w:hAnsi="Arial" w:cs="Arial"/>
                <w:b/>
                <w:bCs/>
                <w:sz w:val="24"/>
                <w:szCs w:val="24"/>
              </w:rPr>
            </w:pPr>
            <w:r w:rsidRPr="008441F4">
              <w:rPr>
                <w:rFonts w:ascii="Arial" w:hAnsi="Arial" w:cs="Arial"/>
                <w:b/>
                <w:bCs/>
                <w:sz w:val="24"/>
                <w:szCs w:val="24"/>
              </w:rPr>
              <w:t>Where in the report</w:t>
            </w:r>
          </w:p>
        </w:tc>
      </w:tr>
      <w:tr w:rsidR="006D7BD7" w:rsidRPr="008441F4" w14:paraId="5CF320E7" w14:textId="77777777" w:rsidTr="006766AD">
        <w:tc>
          <w:tcPr>
            <w:tcW w:w="0" w:type="auto"/>
          </w:tcPr>
          <w:p w14:paraId="0EF6AB2C" w14:textId="77777777" w:rsidR="006D7BD7" w:rsidRPr="008441F4" w:rsidRDefault="006D7BD7" w:rsidP="006766AD">
            <w:pPr>
              <w:pStyle w:val="Compact"/>
              <w:spacing w:line="276" w:lineRule="auto"/>
              <w:rPr>
                <w:rFonts w:ascii="Arial" w:hAnsi="Arial" w:cs="Arial"/>
                <w:sz w:val="24"/>
                <w:szCs w:val="24"/>
              </w:rPr>
            </w:pPr>
            <w:r w:rsidRPr="008441F4">
              <w:rPr>
                <w:rFonts w:ascii="Arial" w:hAnsi="Arial" w:cs="Arial"/>
                <w:sz w:val="24"/>
                <w:szCs w:val="24"/>
              </w:rPr>
              <w:t>Grammarly</w:t>
            </w:r>
          </w:p>
        </w:tc>
        <w:tc>
          <w:tcPr>
            <w:tcW w:w="0" w:type="auto"/>
          </w:tcPr>
          <w:p w14:paraId="281175DA" w14:textId="77777777" w:rsidR="006D7BD7" w:rsidRPr="008441F4" w:rsidRDefault="006D7BD7" w:rsidP="006766AD">
            <w:pPr>
              <w:pStyle w:val="Compact"/>
              <w:spacing w:line="276" w:lineRule="auto"/>
              <w:jc w:val="left"/>
              <w:rPr>
                <w:rFonts w:ascii="Arial" w:hAnsi="Arial" w:cs="Arial"/>
                <w:sz w:val="24"/>
                <w:szCs w:val="24"/>
              </w:rPr>
            </w:pPr>
            <w:r w:rsidRPr="008441F4">
              <w:rPr>
                <w:rFonts w:ascii="Arial" w:hAnsi="Arial" w:cs="Arial"/>
                <w:sz w:val="24"/>
                <w:szCs w:val="24"/>
              </w:rPr>
              <w:t>[e.g. spelling, punctuation, sentence structure and conciseness checks on my own drafted text]</w:t>
            </w:r>
          </w:p>
        </w:tc>
        <w:tc>
          <w:tcPr>
            <w:tcW w:w="0" w:type="auto"/>
          </w:tcPr>
          <w:p w14:paraId="40E2EEE2" w14:textId="77777777" w:rsidR="006D7BD7" w:rsidRPr="008441F4" w:rsidRDefault="006D7BD7" w:rsidP="006766AD">
            <w:pPr>
              <w:pStyle w:val="Compact"/>
              <w:spacing w:line="276" w:lineRule="auto"/>
              <w:jc w:val="left"/>
              <w:rPr>
                <w:rFonts w:ascii="Arial" w:hAnsi="Arial" w:cs="Arial"/>
                <w:sz w:val="24"/>
                <w:szCs w:val="24"/>
              </w:rPr>
            </w:pPr>
            <w:r w:rsidRPr="008441F4">
              <w:rPr>
                <w:rFonts w:ascii="Arial" w:hAnsi="Arial" w:cs="Arial"/>
                <w:sz w:val="24"/>
                <w:szCs w:val="24"/>
              </w:rPr>
              <w:t>[e.g. throughout]</w:t>
            </w:r>
          </w:p>
        </w:tc>
      </w:tr>
      <w:tr w:rsidR="006D7BD7" w:rsidRPr="008441F4" w14:paraId="26EDA0C9" w14:textId="77777777" w:rsidTr="006766AD">
        <w:tc>
          <w:tcPr>
            <w:tcW w:w="0" w:type="auto"/>
          </w:tcPr>
          <w:p w14:paraId="76421EB9" w14:textId="77777777" w:rsidR="006D7BD7" w:rsidRPr="008441F4" w:rsidRDefault="006D7BD7" w:rsidP="006766AD">
            <w:pPr>
              <w:pStyle w:val="Compact"/>
              <w:spacing w:line="276" w:lineRule="auto"/>
              <w:rPr>
                <w:rFonts w:ascii="Arial" w:hAnsi="Arial" w:cs="Arial"/>
                <w:sz w:val="24"/>
                <w:szCs w:val="24"/>
              </w:rPr>
            </w:pPr>
            <w:r w:rsidRPr="008441F4">
              <w:rPr>
                <w:rFonts w:ascii="Arial" w:hAnsi="Arial" w:cs="Arial"/>
                <w:sz w:val="24"/>
                <w:szCs w:val="24"/>
              </w:rPr>
              <w:t>Microsoft Copilot</w:t>
            </w:r>
          </w:p>
        </w:tc>
        <w:tc>
          <w:tcPr>
            <w:tcW w:w="0" w:type="auto"/>
          </w:tcPr>
          <w:p w14:paraId="61A1931F" w14:textId="3648C187" w:rsidR="006D7BD7" w:rsidRPr="008441F4" w:rsidRDefault="006D7BD7" w:rsidP="006766AD">
            <w:pPr>
              <w:pStyle w:val="Compact"/>
              <w:spacing w:line="276" w:lineRule="auto"/>
              <w:jc w:val="left"/>
              <w:rPr>
                <w:rFonts w:ascii="Arial" w:hAnsi="Arial" w:cs="Arial"/>
                <w:sz w:val="24"/>
                <w:szCs w:val="24"/>
              </w:rPr>
            </w:pPr>
            <w:r w:rsidRPr="008441F4">
              <w:rPr>
                <w:rFonts w:ascii="Arial" w:hAnsi="Arial" w:cs="Arial"/>
                <w:sz w:val="24"/>
                <w:szCs w:val="24"/>
              </w:rPr>
              <w:t xml:space="preserve">[e.g.1, locating peer-reviewed journal articles on entry mode choice; </w:t>
            </w:r>
            <w:r w:rsidR="008F1897" w:rsidRPr="008441F4">
              <w:rPr>
                <w:rFonts w:ascii="Arial" w:hAnsi="Arial" w:cs="Arial"/>
                <w:sz w:val="24"/>
                <w:szCs w:val="24"/>
              </w:rPr>
              <w:t>summarizing</w:t>
            </w:r>
            <w:r w:rsidRPr="008441F4">
              <w:rPr>
                <w:rFonts w:ascii="Arial" w:hAnsi="Arial" w:cs="Arial"/>
                <w:sz w:val="24"/>
                <w:szCs w:val="24"/>
              </w:rPr>
              <w:t xml:space="preserve"> UAE regulatory documents]</w:t>
            </w:r>
          </w:p>
          <w:p w14:paraId="0E95E61B" w14:textId="77777777" w:rsidR="006D7BD7" w:rsidRPr="008441F4" w:rsidRDefault="006D7BD7" w:rsidP="006766AD">
            <w:pPr>
              <w:pStyle w:val="Compact"/>
              <w:spacing w:line="276" w:lineRule="auto"/>
              <w:jc w:val="left"/>
              <w:rPr>
                <w:rFonts w:ascii="Arial" w:hAnsi="Arial" w:cs="Arial"/>
                <w:sz w:val="24"/>
                <w:szCs w:val="24"/>
              </w:rPr>
            </w:pPr>
            <w:r w:rsidRPr="008441F4">
              <w:rPr>
                <w:rFonts w:ascii="Arial" w:hAnsi="Arial" w:cs="Arial"/>
                <w:sz w:val="24"/>
                <w:szCs w:val="24"/>
              </w:rPr>
              <w:t>[e.g.2, brainstorm the formats to present analysis]</w:t>
            </w:r>
          </w:p>
        </w:tc>
        <w:tc>
          <w:tcPr>
            <w:tcW w:w="0" w:type="auto"/>
          </w:tcPr>
          <w:p w14:paraId="27A9451E" w14:textId="77777777" w:rsidR="006D7BD7" w:rsidRPr="008441F4" w:rsidRDefault="006D7BD7" w:rsidP="006766AD">
            <w:pPr>
              <w:pStyle w:val="Compact"/>
              <w:spacing w:line="276" w:lineRule="auto"/>
              <w:jc w:val="left"/>
              <w:rPr>
                <w:rFonts w:ascii="Arial" w:hAnsi="Arial" w:cs="Arial"/>
                <w:sz w:val="24"/>
                <w:szCs w:val="24"/>
              </w:rPr>
            </w:pPr>
            <w:r w:rsidRPr="008441F4">
              <w:rPr>
                <w:rFonts w:ascii="Arial" w:hAnsi="Arial" w:cs="Arial"/>
                <w:sz w:val="24"/>
                <w:szCs w:val="24"/>
              </w:rPr>
              <w:t>[e.g.1 Sections 3 and 5 source identification]</w:t>
            </w:r>
          </w:p>
          <w:p w14:paraId="23CD694A" w14:textId="77777777" w:rsidR="006D7BD7" w:rsidRPr="008441F4" w:rsidRDefault="006D7BD7" w:rsidP="006766AD">
            <w:pPr>
              <w:spacing w:line="276" w:lineRule="auto"/>
              <w:jc w:val="left"/>
              <w:rPr>
                <w:rFonts w:cs="Arial"/>
                <w:sz w:val="24"/>
                <w:szCs w:val="24"/>
                <w:lang w:eastAsia="en-US"/>
              </w:rPr>
            </w:pPr>
          </w:p>
          <w:p w14:paraId="72C91312" w14:textId="3ADF5B2A" w:rsidR="006D7BD7" w:rsidRPr="008441F4" w:rsidRDefault="006D7BD7" w:rsidP="006766AD">
            <w:pPr>
              <w:spacing w:line="276" w:lineRule="auto"/>
              <w:jc w:val="left"/>
              <w:rPr>
                <w:rFonts w:cs="Arial"/>
                <w:sz w:val="24"/>
                <w:szCs w:val="24"/>
                <w:lang w:eastAsia="en-US"/>
              </w:rPr>
            </w:pPr>
            <w:r w:rsidRPr="008441F4">
              <w:rPr>
                <w:rFonts w:cs="Arial"/>
                <w:sz w:val="24"/>
                <w:szCs w:val="24"/>
                <w:lang w:eastAsia="en-US"/>
              </w:rPr>
              <w:t>[e.g.2, PESTLE analysis format to presents focusing opportunities and risks]</w:t>
            </w:r>
          </w:p>
        </w:tc>
      </w:tr>
    </w:tbl>
    <w:p w14:paraId="053E139E" w14:textId="77777777" w:rsidR="006D7BD7" w:rsidRPr="008441F4" w:rsidRDefault="006D7BD7" w:rsidP="006D7BD7">
      <w:pPr>
        <w:pStyle w:val="BodyText"/>
        <w:spacing w:line="276" w:lineRule="auto"/>
        <w:rPr>
          <w:rFonts w:ascii="Arial" w:hAnsi="Arial" w:cs="Arial"/>
        </w:rPr>
      </w:pPr>
      <w:r w:rsidRPr="008441F4">
        <w:rPr>
          <w:rFonts w:ascii="Arial" w:hAnsi="Arial" w:cs="Arial"/>
          <w:b/>
        </w:rPr>
        <w:lastRenderedPageBreak/>
        <w:t>Statement of human input.</w:t>
      </w:r>
      <w:r w:rsidRPr="008441F4">
        <w:rPr>
          <w:rFonts w:ascii="Arial" w:hAnsi="Arial" w:cs="Arial"/>
        </w:rPr>
        <w:t xml:space="preserve"> The selection of the target market, the analytical judgements in the PESTLE and Five Forces sections, the evaluation of entry modes and the recommendations in Section 6 are my own. AI tools were used to locate and summarise source material and to check written expression; the critical analysis, argument and conclusions were produced by me. All sources listed in the reference list were checked directly at source, and no reference, statistic or DOI was accepted from an AI tool without verification.</w:t>
      </w:r>
    </w:p>
    <w:p w14:paraId="53D25898" w14:textId="018E53CC" w:rsidR="004C3EA0" w:rsidRPr="008441F4" w:rsidRDefault="004C3EA0" w:rsidP="002B2B31">
      <w:pPr>
        <w:spacing w:line="276" w:lineRule="auto"/>
        <w:rPr>
          <w:rFonts w:cs="Arial"/>
        </w:rPr>
      </w:pPr>
    </w:p>
    <w:sectPr w:rsidR="004C3EA0" w:rsidRPr="008441F4" w:rsidSect="00525444">
      <w:footerReference w:type="default" r:id="rId58"/>
      <w:pgSz w:w="11900" w:h="16840" w:code="9"/>
      <w:pgMar w:top="1418" w:right="1814" w:bottom="1418" w:left="1814" w:header="709" w:footer="91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9E4B92" w14:textId="77777777" w:rsidR="00936965" w:rsidRDefault="00936965" w:rsidP="00353751">
      <w:r>
        <w:separator/>
      </w:r>
    </w:p>
  </w:endnote>
  <w:endnote w:type="continuationSeparator" w:id="0">
    <w:p w14:paraId="08FD3B66" w14:textId="77777777" w:rsidR="00936965" w:rsidRDefault="00936965" w:rsidP="00353751">
      <w:r>
        <w:continuationSeparator/>
      </w:r>
    </w:p>
  </w:endnote>
  <w:endnote w:type="continuationNotice" w:id="1">
    <w:p w14:paraId="2560A335" w14:textId="77777777" w:rsidR="00936965" w:rsidRDefault="00936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76729628"/>
      <w:docPartObj>
        <w:docPartGallery w:val="Page Numbers (Bottom of Page)"/>
        <w:docPartUnique/>
      </w:docPartObj>
    </w:sdtPr>
    <w:sdtContent>
      <w:p w14:paraId="602CCA26" w14:textId="7D26B538" w:rsidR="006D7BD7" w:rsidRDefault="006D7BD7" w:rsidP="00EB5F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4BE112E" w14:textId="77777777" w:rsidR="006D7BD7" w:rsidRDefault="006D7BD7" w:rsidP="006D7B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23108955"/>
      <w:docPartObj>
        <w:docPartGallery w:val="Page Numbers (Bottom of Page)"/>
        <w:docPartUnique/>
      </w:docPartObj>
    </w:sdtPr>
    <w:sdtContent>
      <w:p w14:paraId="3E5AD251" w14:textId="67BA9123" w:rsidR="006D7BD7" w:rsidRDefault="006D7BD7" w:rsidP="00EB5F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621A5A" w14:textId="77777777" w:rsidR="006D7BD7" w:rsidRDefault="006D7BD7" w:rsidP="006D7B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621CA05" w14:textId="77777777" w:rsidR="00936965" w:rsidRDefault="00936965" w:rsidP="00353751">
      <w:r>
        <w:separator/>
      </w:r>
    </w:p>
  </w:footnote>
  <w:footnote w:type="continuationSeparator" w:id="0">
    <w:p w14:paraId="79908F11" w14:textId="77777777" w:rsidR="00936965" w:rsidRDefault="00936965" w:rsidP="00353751">
      <w:r>
        <w:continuationSeparator/>
      </w:r>
    </w:p>
  </w:footnote>
  <w:footnote w:type="continuationNotice" w:id="1">
    <w:p w14:paraId="19E791A5" w14:textId="77777777" w:rsidR="00936965" w:rsidRDefault="00936965"/>
  </w:footnote>
</w:footnotes>
</file>

<file path=word/intelligence2.xml><?xml version="1.0" encoding="utf-8"?>
<int2:intelligence xmlns:int2="http://schemas.microsoft.com/office/intelligence/2020/intelligence" xmlns:oel="http://schemas.microsoft.com/office/2019/extlst">
  <int2:observations>
    <int2:textHash int2:hashCode="CYjWy9vk2txFMK" int2:id="u7O36e95">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2A69AE"/>
    <w:multiLevelType w:val="hybridMultilevel"/>
    <w:tmpl w:val="7BFAC0B0"/>
    <w:lvl w:ilvl="0" w:tplc="BB2E483C">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F0796"/>
    <w:multiLevelType w:val="hybridMultilevel"/>
    <w:tmpl w:val="DA1C0008"/>
    <w:lvl w:ilvl="0" w:tplc="F34E9056">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679D7"/>
    <w:multiLevelType w:val="hybridMultilevel"/>
    <w:tmpl w:val="E5D263B6"/>
    <w:lvl w:ilvl="0" w:tplc="368CE856">
      <w:start w:val="8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4263BE"/>
    <w:multiLevelType w:val="hybridMultilevel"/>
    <w:tmpl w:val="7BC847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375676"/>
    <w:multiLevelType w:val="hybridMultilevel"/>
    <w:tmpl w:val="4860D9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6C4B66"/>
    <w:multiLevelType w:val="hybridMultilevel"/>
    <w:tmpl w:val="A330FF6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9D171B"/>
    <w:multiLevelType w:val="hybridMultilevel"/>
    <w:tmpl w:val="3F400C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516859"/>
    <w:multiLevelType w:val="hybridMultilevel"/>
    <w:tmpl w:val="CEAADF42"/>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21501DD"/>
    <w:multiLevelType w:val="hybridMultilevel"/>
    <w:tmpl w:val="F34AEABE"/>
    <w:lvl w:ilvl="0" w:tplc="26341FA6">
      <w:start w:val="1"/>
      <w:numFmt w:val="decimal"/>
      <w:lvlText w:val="%1."/>
      <w:lvlJc w:val="left"/>
      <w:pPr>
        <w:ind w:left="720" w:hanging="360"/>
      </w:pPr>
    </w:lvl>
    <w:lvl w:ilvl="1" w:tplc="95766C7A">
      <w:start w:val="1"/>
      <w:numFmt w:val="lowerLetter"/>
      <w:lvlText w:val="%2."/>
      <w:lvlJc w:val="left"/>
      <w:pPr>
        <w:ind w:left="1440" w:hanging="360"/>
      </w:pPr>
    </w:lvl>
    <w:lvl w:ilvl="2" w:tplc="DD64CB56">
      <w:start w:val="1"/>
      <w:numFmt w:val="lowerRoman"/>
      <w:lvlText w:val="%3."/>
      <w:lvlJc w:val="right"/>
      <w:pPr>
        <w:ind w:left="2160" w:hanging="180"/>
      </w:pPr>
    </w:lvl>
    <w:lvl w:ilvl="3" w:tplc="1C426154">
      <w:start w:val="1"/>
      <w:numFmt w:val="decimal"/>
      <w:lvlText w:val="%4."/>
      <w:lvlJc w:val="left"/>
      <w:pPr>
        <w:ind w:left="2880" w:hanging="360"/>
      </w:pPr>
    </w:lvl>
    <w:lvl w:ilvl="4" w:tplc="63901CEC">
      <w:start w:val="1"/>
      <w:numFmt w:val="lowerLetter"/>
      <w:lvlText w:val="%5."/>
      <w:lvlJc w:val="left"/>
      <w:pPr>
        <w:ind w:left="3600" w:hanging="360"/>
      </w:pPr>
    </w:lvl>
    <w:lvl w:ilvl="5" w:tplc="CCE4E554">
      <w:start w:val="1"/>
      <w:numFmt w:val="lowerRoman"/>
      <w:lvlText w:val="%6."/>
      <w:lvlJc w:val="right"/>
      <w:pPr>
        <w:ind w:left="4320" w:hanging="180"/>
      </w:pPr>
    </w:lvl>
    <w:lvl w:ilvl="6" w:tplc="8D8A7F08">
      <w:start w:val="1"/>
      <w:numFmt w:val="decimal"/>
      <w:lvlText w:val="%7."/>
      <w:lvlJc w:val="left"/>
      <w:pPr>
        <w:ind w:left="5040" w:hanging="360"/>
      </w:pPr>
    </w:lvl>
    <w:lvl w:ilvl="7" w:tplc="BC220F20">
      <w:start w:val="1"/>
      <w:numFmt w:val="lowerLetter"/>
      <w:lvlText w:val="%8."/>
      <w:lvlJc w:val="left"/>
      <w:pPr>
        <w:ind w:left="5760" w:hanging="360"/>
      </w:pPr>
    </w:lvl>
    <w:lvl w:ilvl="8" w:tplc="99B438DE">
      <w:start w:val="1"/>
      <w:numFmt w:val="lowerRoman"/>
      <w:lvlText w:val="%9."/>
      <w:lvlJc w:val="right"/>
      <w:pPr>
        <w:ind w:left="6480" w:hanging="180"/>
      </w:pPr>
    </w:lvl>
  </w:abstractNum>
  <w:abstractNum w:abstractNumId="9" w15:restartNumberingAfterBreak="0">
    <w:nsid w:val="24C70DA7"/>
    <w:multiLevelType w:val="hybridMultilevel"/>
    <w:tmpl w:val="00146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78376B"/>
    <w:multiLevelType w:val="hybridMultilevel"/>
    <w:tmpl w:val="8F46FB8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7246E8"/>
    <w:multiLevelType w:val="hybridMultilevel"/>
    <w:tmpl w:val="7BA4B9AA"/>
    <w:lvl w:ilvl="0" w:tplc="3D42865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9C14EC"/>
    <w:multiLevelType w:val="hybridMultilevel"/>
    <w:tmpl w:val="052018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4C15D9"/>
    <w:multiLevelType w:val="hybridMultilevel"/>
    <w:tmpl w:val="BF2A5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FD5B92"/>
    <w:multiLevelType w:val="multilevel"/>
    <w:tmpl w:val="33DCCE1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5250122F"/>
    <w:multiLevelType w:val="hybridMultilevel"/>
    <w:tmpl w:val="DA70731E"/>
    <w:lvl w:ilvl="0" w:tplc="D966C92A">
      <w:start w:val="2"/>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3EC49B6"/>
    <w:multiLevelType w:val="multilevel"/>
    <w:tmpl w:val="08F2933C"/>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5986C73"/>
    <w:multiLevelType w:val="multilevel"/>
    <w:tmpl w:val="94B8C07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C193FCE"/>
    <w:multiLevelType w:val="hybridMultilevel"/>
    <w:tmpl w:val="C85E6044"/>
    <w:lvl w:ilvl="0" w:tplc="72CC7640">
      <w:start w:val="1"/>
      <w:numFmt w:val="bullet"/>
      <w:lvlText w:val="·"/>
      <w:lvlJc w:val="left"/>
      <w:pPr>
        <w:ind w:left="720" w:hanging="360"/>
      </w:pPr>
      <w:rPr>
        <w:rFonts w:ascii="Symbol" w:hAnsi="Symbol" w:hint="default"/>
      </w:rPr>
    </w:lvl>
    <w:lvl w:ilvl="1" w:tplc="F842BD46">
      <w:start w:val="1"/>
      <w:numFmt w:val="bullet"/>
      <w:lvlText w:val="o"/>
      <w:lvlJc w:val="left"/>
      <w:pPr>
        <w:ind w:left="1440" w:hanging="360"/>
      </w:pPr>
      <w:rPr>
        <w:rFonts w:ascii="Courier New" w:hAnsi="Courier New" w:hint="default"/>
      </w:rPr>
    </w:lvl>
    <w:lvl w:ilvl="2" w:tplc="D22EC736">
      <w:start w:val="1"/>
      <w:numFmt w:val="bullet"/>
      <w:lvlText w:val=""/>
      <w:lvlJc w:val="left"/>
      <w:pPr>
        <w:ind w:left="2160" w:hanging="360"/>
      </w:pPr>
      <w:rPr>
        <w:rFonts w:ascii="Wingdings" w:hAnsi="Wingdings" w:hint="default"/>
      </w:rPr>
    </w:lvl>
    <w:lvl w:ilvl="3" w:tplc="EFD8F6C8">
      <w:start w:val="1"/>
      <w:numFmt w:val="bullet"/>
      <w:lvlText w:val=""/>
      <w:lvlJc w:val="left"/>
      <w:pPr>
        <w:ind w:left="2880" w:hanging="360"/>
      </w:pPr>
      <w:rPr>
        <w:rFonts w:ascii="Symbol" w:hAnsi="Symbol" w:hint="default"/>
      </w:rPr>
    </w:lvl>
    <w:lvl w:ilvl="4" w:tplc="F3AA3FF2">
      <w:start w:val="1"/>
      <w:numFmt w:val="bullet"/>
      <w:lvlText w:val="o"/>
      <w:lvlJc w:val="left"/>
      <w:pPr>
        <w:ind w:left="3600" w:hanging="360"/>
      </w:pPr>
      <w:rPr>
        <w:rFonts w:ascii="Courier New" w:hAnsi="Courier New" w:hint="default"/>
      </w:rPr>
    </w:lvl>
    <w:lvl w:ilvl="5" w:tplc="B5E6DC28">
      <w:start w:val="1"/>
      <w:numFmt w:val="bullet"/>
      <w:lvlText w:val=""/>
      <w:lvlJc w:val="left"/>
      <w:pPr>
        <w:ind w:left="4320" w:hanging="360"/>
      </w:pPr>
      <w:rPr>
        <w:rFonts w:ascii="Wingdings" w:hAnsi="Wingdings" w:hint="default"/>
      </w:rPr>
    </w:lvl>
    <w:lvl w:ilvl="6" w:tplc="93C45080">
      <w:start w:val="1"/>
      <w:numFmt w:val="bullet"/>
      <w:lvlText w:val=""/>
      <w:lvlJc w:val="left"/>
      <w:pPr>
        <w:ind w:left="5040" w:hanging="360"/>
      </w:pPr>
      <w:rPr>
        <w:rFonts w:ascii="Symbol" w:hAnsi="Symbol" w:hint="default"/>
      </w:rPr>
    </w:lvl>
    <w:lvl w:ilvl="7" w:tplc="9920E2A4">
      <w:start w:val="1"/>
      <w:numFmt w:val="bullet"/>
      <w:lvlText w:val="o"/>
      <w:lvlJc w:val="left"/>
      <w:pPr>
        <w:ind w:left="5760" w:hanging="360"/>
      </w:pPr>
      <w:rPr>
        <w:rFonts w:ascii="Courier New" w:hAnsi="Courier New" w:hint="default"/>
      </w:rPr>
    </w:lvl>
    <w:lvl w:ilvl="8" w:tplc="6A140B38">
      <w:start w:val="1"/>
      <w:numFmt w:val="bullet"/>
      <w:lvlText w:val=""/>
      <w:lvlJc w:val="left"/>
      <w:pPr>
        <w:ind w:left="6480" w:hanging="360"/>
      </w:pPr>
      <w:rPr>
        <w:rFonts w:ascii="Wingdings" w:hAnsi="Wingdings" w:hint="default"/>
      </w:rPr>
    </w:lvl>
  </w:abstractNum>
  <w:abstractNum w:abstractNumId="19" w15:restartNumberingAfterBreak="0">
    <w:nsid w:val="5C376EFD"/>
    <w:multiLevelType w:val="hybridMultilevel"/>
    <w:tmpl w:val="574A1F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6E5BA3"/>
    <w:multiLevelType w:val="hybridMultilevel"/>
    <w:tmpl w:val="72EA08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3577A2"/>
    <w:multiLevelType w:val="hybridMultilevel"/>
    <w:tmpl w:val="1FAA1C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D910648"/>
    <w:multiLevelType w:val="hybridMultilevel"/>
    <w:tmpl w:val="2B1E654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7477924">
    <w:abstractNumId w:val="9"/>
  </w:num>
  <w:num w:numId="2" w16cid:durableId="2098356550">
    <w:abstractNumId w:val="18"/>
  </w:num>
  <w:num w:numId="3" w16cid:durableId="163595358">
    <w:abstractNumId w:val="8"/>
  </w:num>
  <w:num w:numId="4" w16cid:durableId="672682068">
    <w:abstractNumId w:val="0"/>
  </w:num>
  <w:num w:numId="5" w16cid:durableId="743837802">
    <w:abstractNumId w:val="15"/>
  </w:num>
  <w:num w:numId="6" w16cid:durableId="351995780">
    <w:abstractNumId w:val="1"/>
  </w:num>
  <w:num w:numId="7" w16cid:durableId="1378972340">
    <w:abstractNumId w:val="17"/>
  </w:num>
  <w:num w:numId="8" w16cid:durableId="1774398757">
    <w:abstractNumId w:val="5"/>
  </w:num>
  <w:num w:numId="9" w16cid:durableId="1156458559">
    <w:abstractNumId w:val="14"/>
  </w:num>
  <w:num w:numId="10" w16cid:durableId="98987973">
    <w:abstractNumId w:val="10"/>
  </w:num>
  <w:num w:numId="11" w16cid:durableId="455418698">
    <w:abstractNumId w:val="22"/>
  </w:num>
  <w:num w:numId="12" w16cid:durableId="1538853835">
    <w:abstractNumId w:val="4"/>
  </w:num>
  <w:num w:numId="13" w16cid:durableId="1002053444">
    <w:abstractNumId w:val="2"/>
  </w:num>
  <w:num w:numId="14" w16cid:durableId="242419749">
    <w:abstractNumId w:val="11"/>
  </w:num>
  <w:num w:numId="15" w16cid:durableId="26418205">
    <w:abstractNumId w:val="16"/>
  </w:num>
  <w:num w:numId="16" w16cid:durableId="857281333">
    <w:abstractNumId w:val="21"/>
  </w:num>
  <w:num w:numId="17" w16cid:durableId="172303378">
    <w:abstractNumId w:val="12"/>
  </w:num>
  <w:num w:numId="18" w16cid:durableId="442386246">
    <w:abstractNumId w:val="3"/>
  </w:num>
  <w:num w:numId="19" w16cid:durableId="2023625913">
    <w:abstractNumId w:val="19"/>
  </w:num>
  <w:num w:numId="20" w16cid:durableId="1670214738">
    <w:abstractNumId w:val="13"/>
  </w:num>
  <w:num w:numId="21" w16cid:durableId="1732576865">
    <w:abstractNumId w:val="20"/>
  </w:num>
  <w:num w:numId="22" w16cid:durableId="2125616833">
    <w:abstractNumId w:val="7"/>
  </w:num>
  <w:num w:numId="23" w16cid:durableId="1370111333">
    <w:abstractNumId w:val="6"/>
  </w:num>
  <w:numIdMacAtCleanup w:val="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DB4"/>
    <w:rsid w:val="00000140"/>
    <w:rsid w:val="0000044C"/>
    <w:rsid w:val="0000094D"/>
    <w:rsid w:val="00000EC6"/>
    <w:rsid w:val="00001530"/>
    <w:rsid w:val="00002D35"/>
    <w:rsid w:val="00002E41"/>
    <w:rsid w:val="00003B4C"/>
    <w:rsid w:val="00003ECA"/>
    <w:rsid w:val="00004A42"/>
    <w:rsid w:val="00004DD6"/>
    <w:rsid w:val="00006264"/>
    <w:rsid w:val="00006375"/>
    <w:rsid w:val="000066F2"/>
    <w:rsid w:val="0000690E"/>
    <w:rsid w:val="00006A9E"/>
    <w:rsid w:val="00006F56"/>
    <w:rsid w:val="000100BE"/>
    <w:rsid w:val="00011B0A"/>
    <w:rsid w:val="00011ED4"/>
    <w:rsid w:val="000139CF"/>
    <w:rsid w:val="00014830"/>
    <w:rsid w:val="000168A5"/>
    <w:rsid w:val="00016C9A"/>
    <w:rsid w:val="00017B3C"/>
    <w:rsid w:val="0002194D"/>
    <w:rsid w:val="00021F8B"/>
    <w:rsid w:val="000220FB"/>
    <w:rsid w:val="00022D99"/>
    <w:rsid w:val="00024A43"/>
    <w:rsid w:val="000250D1"/>
    <w:rsid w:val="00025B94"/>
    <w:rsid w:val="00025ECA"/>
    <w:rsid w:val="0002613E"/>
    <w:rsid w:val="00027702"/>
    <w:rsid w:val="00027750"/>
    <w:rsid w:val="00031A78"/>
    <w:rsid w:val="00031D7A"/>
    <w:rsid w:val="0003290D"/>
    <w:rsid w:val="00032A4E"/>
    <w:rsid w:val="00032FD7"/>
    <w:rsid w:val="000343CD"/>
    <w:rsid w:val="00034AA4"/>
    <w:rsid w:val="000362F0"/>
    <w:rsid w:val="0003630A"/>
    <w:rsid w:val="0003663D"/>
    <w:rsid w:val="00036738"/>
    <w:rsid w:val="00037832"/>
    <w:rsid w:val="00037A1E"/>
    <w:rsid w:val="00040729"/>
    <w:rsid w:val="000407FF"/>
    <w:rsid w:val="00040A8A"/>
    <w:rsid w:val="00040BFA"/>
    <w:rsid w:val="00041130"/>
    <w:rsid w:val="000413A4"/>
    <w:rsid w:val="000414A9"/>
    <w:rsid w:val="00041727"/>
    <w:rsid w:val="00042BE4"/>
    <w:rsid w:val="0004308B"/>
    <w:rsid w:val="00043D1E"/>
    <w:rsid w:val="00043FBE"/>
    <w:rsid w:val="000442C7"/>
    <w:rsid w:val="0004589F"/>
    <w:rsid w:val="000466EE"/>
    <w:rsid w:val="00046A41"/>
    <w:rsid w:val="00046B05"/>
    <w:rsid w:val="00046CF1"/>
    <w:rsid w:val="00046F3A"/>
    <w:rsid w:val="0005036E"/>
    <w:rsid w:val="0005060B"/>
    <w:rsid w:val="00050CFA"/>
    <w:rsid w:val="0005105D"/>
    <w:rsid w:val="0005120F"/>
    <w:rsid w:val="00051350"/>
    <w:rsid w:val="00051427"/>
    <w:rsid w:val="00053DA3"/>
    <w:rsid w:val="00054522"/>
    <w:rsid w:val="00054BE3"/>
    <w:rsid w:val="00055254"/>
    <w:rsid w:val="000552AA"/>
    <w:rsid w:val="00055D27"/>
    <w:rsid w:val="000571CA"/>
    <w:rsid w:val="000576E4"/>
    <w:rsid w:val="0005792F"/>
    <w:rsid w:val="000603C7"/>
    <w:rsid w:val="00060A7F"/>
    <w:rsid w:val="000618AD"/>
    <w:rsid w:val="000622E0"/>
    <w:rsid w:val="00064342"/>
    <w:rsid w:val="000646B1"/>
    <w:rsid w:val="00064FDD"/>
    <w:rsid w:val="00065261"/>
    <w:rsid w:val="00065CDA"/>
    <w:rsid w:val="000668BB"/>
    <w:rsid w:val="0006762B"/>
    <w:rsid w:val="000677A7"/>
    <w:rsid w:val="00067E72"/>
    <w:rsid w:val="00070442"/>
    <w:rsid w:val="00070748"/>
    <w:rsid w:val="00070A61"/>
    <w:rsid w:val="000713FE"/>
    <w:rsid w:val="00072532"/>
    <w:rsid w:val="00072898"/>
    <w:rsid w:val="000730DB"/>
    <w:rsid w:val="00074B23"/>
    <w:rsid w:val="00075524"/>
    <w:rsid w:val="00075861"/>
    <w:rsid w:val="0007741B"/>
    <w:rsid w:val="00077483"/>
    <w:rsid w:val="00080C15"/>
    <w:rsid w:val="00080C57"/>
    <w:rsid w:val="0008388F"/>
    <w:rsid w:val="00083A33"/>
    <w:rsid w:val="000862D9"/>
    <w:rsid w:val="000863BB"/>
    <w:rsid w:val="000875C2"/>
    <w:rsid w:val="00087634"/>
    <w:rsid w:val="00087DEB"/>
    <w:rsid w:val="0009013A"/>
    <w:rsid w:val="00090B34"/>
    <w:rsid w:val="00091F3F"/>
    <w:rsid w:val="00092603"/>
    <w:rsid w:val="00092DB8"/>
    <w:rsid w:val="000933C4"/>
    <w:rsid w:val="00093501"/>
    <w:rsid w:val="000944A4"/>
    <w:rsid w:val="00094EB8"/>
    <w:rsid w:val="0009569D"/>
    <w:rsid w:val="0009615E"/>
    <w:rsid w:val="00097AF6"/>
    <w:rsid w:val="000A0035"/>
    <w:rsid w:val="000A024A"/>
    <w:rsid w:val="000A1495"/>
    <w:rsid w:val="000A376F"/>
    <w:rsid w:val="000A3A91"/>
    <w:rsid w:val="000A51A7"/>
    <w:rsid w:val="000A5782"/>
    <w:rsid w:val="000A59C7"/>
    <w:rsid w:val="000A5CA9"/>
    <w:rsid w:val="000A6FFD"/>
    <w:rsid w:val="000A73A6"/>
    <w:rsid w:val="000A7B21"/>
    <w:rsid w:val="000B023B"/>
    <w:rsid w:val="000B0A01"/>
    <w:rsid w:val="000B0D6E"/>
    <w:rsid w:val="000B129F"/>
    <w:rsid w:val="000B196A"/>
    <w:rsid w:val="000B2CD2"/>
    <w:rsid w:val="000B3255"/>
    <w:rsid w:val="000B3465"/>
    <w:rsid w:val="000B3FB3"/>
    <w:rsid w:val="000B45B8"/>
    <w:rsid w:val="000B5CA7"/>
    <w:rsid w:val="000B5CF5"/>
    <w:rsid w:val="000B75F8"/>
    <w:rsid w:val="000B7ED5"/>
    <w:rsid w:val="000B7F42"/>
    <w:rsid w:val="000C0138"/>
    <w:rsid w:val="000C181A"/>
    <w:rsid w:val="000C1C4D"/>
    <w:rsid w:val="000C284E"/>
    <w:rsid w:val="000C315D"/>
    <w:rsid w:val="000C36FA"/>
    <w:rsid w:val="000C4417"/>
    <w:rsid w:val="000C476D"/>
    <w:rsid w:val="000C5D78"/>
    <w:rsid w:val="000C63C7"/>
    <w:rsid w:val="000C650D"/>
    <w:rsid w:val="000C6A4C"/>
    <w:rsid w:val="000C7955"/>
    <w:rsid w:val="000C7D08"/>
    <w:rsid w:val="000D01C4"/>
    <w:rsid w:val="000D0A9B"/>
    <w:rsid w:val="000D1E7A"/>
    <w:rsid w:val="000D256E"/>
    <w:rsid w:val="000D26E7"/>
    <w:rsid w:val="000D350E"/>
    <w:rsid w:val="000D549C"/>
    <w:rsid w:val="000D5E98"/>
    <w:rsid w:val="000D67C2"/>
    <w:rsid w:val="000D7193"/>
    <w:rsid w:val="000D7D3B"/>
    <w:rsid w:val="000D7E05"/>
    <w:rsid w:val="000D7E07"/>
    <w:rsid w:val="000D7EDC"/>
    <w:rsid w:val="000E0D9A"/>
    <w:rsid w:val="000E1834"/>
    <w:rsid w:val="000E2E93"/>
    <w:rsid w:val="000E36E9"/>
    <w:rsid w:val="000E4134"/>
    <w:rsid w:val="000E47C0"/>
    <w:rsid w:val="000E698F"/>
    <w:rsid w:val="000E6DE8"/>
    <w:rsid w:val="000E7A48"/>
    <w:rsid w:val="000F092E"/>
    <w:rsid w:val="000F1CAE"/>
    <w:rsid w:val="000F1E96"/>
    <w:rsid w:val="000F2260"/>
    <w:rsid w:val="000F22EB"/>
    <w:rsid w:val="000F2CBE"/>
    <w:rsid w:val="000F32D5"/>
    <w:rsid w:val="000F378A"/>
    <w:rsid w:val="000F378D"/>
    <w:rsid w:val="000F3798"/>
    <w:rsid w:val="000F3DD1"/>
    <w:rsid w:val="000F4BD5"/>
    <w:rsid w:val="000F5D4A"/>
    <w:rsid w:val="000F6218"/>
    <w:rsid w:val="000F6BE9"/>
    <w:rsid w:val="000F71A5"/>
    <w:rsid w:val="000F74E8"/>
    <w:rsid w:val="000F7ADC"/>
    <w:rsid w:val="000F7DD9"/>
    <w:rsid w:val="001001EF"/>
    <w:rsid w:val="00100CE3"/>
    <w:rsid w:val="001011BB"/>
    <w:rsid w:val="00101814"/>
    <w:rsid w:val="0010188C"/>
    <w:rsid w:val="001028A2"/>
    <w:rsid w:val="00102984"/>
    <w:rsid w:val="00102C8B"/>
    <w:rsid w:val="00105E1D"/>
    <w:rsid w:val="00107BE3"/>
    <w:rsid w:val="0011135B"/>
    <w:rsid w:val="00111D22"/>
    <w:rsid w:val="001121E3"/>
    <w:rsid w:val="00113519"/>
    <w:rsid w:val="001137B8"/>
    <w:rsid w:val="00115107"/>
    <w:rsid w:val="0011520F"/>
    <w:rsid w:val="00115F76"/>
    <w:rsid w:val="001172B8"/>
    <w:rsid w:val="00117EAA"/>
    <w:rsid w:val="001204A3"/>
    <w:rsid w:val="00120862"/>
    <w:rsid w:val="00120CA1"/>
    <w:rsid w:val="0012120D"/>
    <w:rsid w:val="00122712"/>
    <w:rsid w:val="00123020"/>
    <w:rsid w:val="001234B8"/>
    <w:rsid w:val="00123A4E"/>
    <w:rsid w:val="00123BDE"/>
    <w:rsid w:val="00123D45"/>
    <w:rsid w:val="00125488"/>
    <w:rsid w:val="001259D7"/>
    <w:rsid w:val="001261BA"/>
    <w:rsid w:val="00126231"/>
    <w:rsid w:val="001279AB"/>
    <w:rsid w:val="0013044B"/>
    <w:rsid w:val="00130BC2"/>
    <w:rsid w:val="00130BC7"/>
    <w:rsid w:val="00130C03"/>
    <w:rsid w:val="00130E1F"/>
    <w:rsid w:val="0013111F"/>
    <w:rsid w:val="00131743"/>
    <w:rsid w:val="00131BD9"/>
    <w:rsid w:val="00131C4F"/>
    <w:rsid w:val="001322CD"/>
    <w:rsid w:val="001332B7"/>
    <w:rsid w:val="001336C3"/>
    <w:rsid w:val="00134518"/>
    <w:rsid w:val="00135FD0"/>
    <w:rsid w:val="00136A75"/>
    <w:rsid w:val="0013706F"/>
    <w:rsid w:val="00137348"/>
    <w:rsid w:val="001374D6"/>
    <w:rsid w:val="00137949"/>
    <w:rsid w:val="00140A72"/>
    <w:rsid w:val="00140B41"/>
    <w:rsid w:val="00140E6F"/>
    <w:rsid w:val="00140EA8"/>
    <w:rsid w:val="00142A14"/>
    <w:rsid w:val="00142B32"/>
    <w:rsid w:val="001431B6"/>
    <w:rsid w:val="00144339"/>
    <w:rsid w:val="001444E4"/>
    <w:rsid w:val="00144653"/>
    <w:rsid w:val="00144913"/>
    <w:rsid w:val="001459D6"/>
    <w:rsid w:val="00145DFB"/>
    <w:rsid w:val="00145F9A"/>
    <w:rsid w:val="001462D7"/>
    <w:rsid w:val="001473FD"/>
    <w:rsid w:val="0015013A"/>
    <w:rsid w:val="001518F5"/>
    <w:rsid w:val="001519C6"/>
    <w:rsid w:val="00153E7F"/>
    <w:rsid w:val="001544B5"/>
    <w:rsid w:val="0015522F"/>
    <w:rsid w:val="00156D29"/>
    <w:rsid w:val="001579B1"/>
    <w:rsid w:val="00157CCD"/>
    <w:rsid w:val="001604AC"/>
    <w:rsid w:val="00160798"/>
    <w:rsid w:val="00160A37"/>
    <w:rsid w:val="00162652"/>
    <w:rsid w:val="001628D9"/>
    <w:rsid w:val="00162E21"/>
    <w:rsid w:val="001638CB"/>
    <w:rsid w:val="0016458E"/>
    <w:rsid w:val="00164B05"/>
    <w:rsid w:val="00165BAD"/>
    <w:rsid w:val="00165DA1"/>
    <w:rsid w:val="00166994"/>
    <w:rsid w:val="00166D42"/>
    <w:rsid w:val="00166D79"/>
    <w:rsid w:val="001707F5"/>
    <w:rsid w:val="00171977"/>
    <w:rsid w:val="001721F8"/>
    <w:rsid w:val="001723CD"/>
    <w:rsid w:val="0017271A"/>
    <w:rsid w:val="001736F6"/>
    <w:rsid w:val="00173801"/>
    <w:rsid w:val="001738AE"/>
    <w:rsid w:val="00174473"/>
    <w:rsid w:val="00174866"/>
    <w:rsid w:val="00174CCE"/>
    <w:rsid w:val="001758AE"/>
    <w:rsid w:val="00175FCE"/>
    <w:rsid w:val="00176A10"/>
    <w:rsid w:val="00177543"/>
    <w:rsid w:val="001775A0"/>
    <w:rsid w:val="00181084"/>
    <w:rsid w:val="00181B5F"/>
    <w:rsid w:val="00181BB7"/>
    <w:rsid w:val="00182353"/>
    <w:rsid w:val="00182BB5"/>
    <w:rsid w:val="00183B6E"/>
    <w:rsid w:val="001846B8"/>
    <w:rsid w:val="00184FF4"/>
    <w:rsid w:val="001855B9"/>
    <w:rsid w:val="001906A3"/>
    <w:rsid w:val="001906FE"/>
    <w:rsid w:val="00190F3A"/>
    <w:rsid w:val="00190FE6"/>
    <w:rsid w:val="00191C51"/>
    <w:rsid w:val="00192067"/>
    <w:rsid w:val="00192249"/>
    <w:rsid w:val="001937F1"/>
    <w:rsid w:val="00193E44"/>
    <w:rsid w:val="00194077"/>
    <w:rsid w:val="0019408C"/>
    <w:rsid w:val="00196B66"/>
    <w:rsid w:val="00197836"/>
    <w:rsid w:val="001A00BC"/>
    <w:rsid w:val="001A0429"/>
    <w:rsid w:val="001A1468"/>
    <w:rsid w:val="001A15A2"/>
    <w:rsid w:val="001A2676"/>
    <w:rsid w:val="001A2C8C"/>
    <w:rsid w:val="001A2E01"/>
    <w:rsid w:val="001A2E1B"/>
    <w:rsid w:val="001A36A9"/>
    <w:rsid w:val="001A582D"/>
    <w:rsid w:val="001A6082"/>
    <w:rsid w:val="001A642C"/>
    <w:rsid w:val="001B0668"/>
    <w:rsid w:val="001B06E0"/>
    <w:rsid w:val="001B08AB"/>
    <w:rsid w:val="001B0EB1"/>
    <w:rsid w:val="001B10B5"/>
    <w:rsid w:val="001B23ED"/>
    <w:rsid w:val="001B2804"/>
    <w:rsid w:val="001B292D"/>
    <w:rsid w:val="001B2BFD"/>
    <w:rsid w:val="001B2E7E"/>
    <w:rsid w:val="001B3CD4"/>
    <w:rsid w:val="001B3D95"/>
    <w:rsid w:val="001B4BE7"/>
    <w:rsid w:val="001B5615"/>
    <w:rsid w:val="001B5DAD"/>
    <w:rsid w:val="001B623D"/>
    <w:rsid w:val="001B67EE"/>
    <w:rsid w:val="001B6D0E"/>
    <w:rsid w:val="001C0217"/>
    <w:rsid w:val="001C03C3"/>
    <w:rsid w:val="001C07A5"/>
    <w:rsid w:val="001C0C05"/>
    <w:rsid w:val="001C2A4E"/>
    <w:rsid w:val="001C331F"/>
    <w:rsid w:val="001C3821"/>
    <w:rsid w:val="001C3995"/>
    <w:rsid w:val="001C4764"/>
    <w:rsid w:val="001C4DBD"/>
    <w:rsid w:val="001C5F89"/>
    <w:rsid w:val="001C6288"/>
    <w:rsid w:val="001C6505"/>
    <w:rsid w:val="001C7916"/>
    <w:rsid w:val="001C7F2E"/>
    <w:rsid w:val="001D00D0"/>
    <w:rsid w:val="001D178F"/>
    <w:rsid w:val="001D1B88"/>
    <w:rsid w:val="001D1BF4"/>
    <w:rsid w:val="001D1EA8"/>
    <w:rsid w:val="001D3B5E"/>
    <w:rsid w:val="001D476A"/>
    <w:rsid w:val="001D53EF"/>
    <w:rsid w:val="001D6D35"/>
    <w:rsid w:val="001D706B"/>
    <w:rsid w:val="001D711E"/>
    <w:rsid w:val="001E0842"/>
    <w:rsid w:val="001E089C"/>
    <w:rsid w:val="001E12D9"/>
    <w:rsid w:val="001E171A"/>
    <w:rsid w:val="001E1CF5"/>
    <w:rsid w:val="001E226F"/>
    <w:rsid w:val="001E2A26"/>
    <w:rsid w:val="001E2E5F"/>
    <w:rsid w:val="001E3822"/>
    <w:rsid w:val="001E4C06"/>
    <w:rsid w:val="001E554E"/>
    <w:rsid w:val="001E6301"/>
    <w:rsid w:val="001E6481"/>
    <w:rsid w:val="001E679C"/>
    <w:rsid w:val="001E7B89"/>
    <w:rsid w:val="001F0148"/>
    <w:rsid w:val="001F0811"/>
    <w:rsid w:val="001F0BBD"/>
    <w:rsid w:val="001F0BD7"/>
    <w:rsid w:val="001F1066"/>
    <w:rsid w:val="001F1203"/>
    <w:rsid w:val="001F17BB"/>
    <w:rsid w:val="001F1FBC"/>
    <w:rsid w:val="001F2243"/>
    <w:rsid w:val="001F228C"/>
    <w:rsid w:val="001F23B3"/>
    <w:rsid w:val="001F2770"/>
    <w:rsid w:val="001F2896"/>
    <w:rsid w:val="001F43D8"/>
    <w:rsid w:val="001F49CE"/>
    <w:rsid w:val="001F4BFF"/>
    <w:rsid w:val="001F4D4E"/>
    <w:rsid w:val="002000E4"/>
    <w:rsid w:val="00200130"/>
    <w:rsid w:val="0020118C"/>
    <w:rsid w:val="002025A5"/>
    <w:rsid w:val="00202647"/>
    <w:rsid w:val="0020276A"/>
    <w:rsid w:val="00202966"/>
    <w:rsid w:val="00202C66"/>
    <w:rsid w:val="00202F38"/>
    <w:rsid w:val="00203233"/>
    <w:rsid w:val="0020492B"/>
    <w:rsid w:val="00204F48"/>
    <w:rsid w:val="00206248"/>
    <w:rsid w:val="0020747D"/>
    <w:rsid w:val="0021262A"/>
    <w:rsid w:val="002130E0"/>
    <w:rsid w:val="002142F2"/>
    <w:rsid w:val="002146CE"/>
    <w:rsid w:val="00214C1C"/>
    <w:rsid w:val="002152A6"/>
    <w:rsid w:val="002155B7"/>
    <w:rsid w:val="002170AE"/>
    <w:rsid w:val="0021721C"/>
    <w:rsid w:val="002205EC"/>
    <w:rsid w:val="00220E15"/>
    <w:rsid w:val="00221EBF"/>
    <w:rsid w:val="002224B8"/>
    <w:rsid w:val="00222D9D"/>
    <w:rsid w:val="00224138"/>
    <w:rsid w:val="002242FC"/>
    <w:rsid w:val="002251EC"/>
    <w:rsid w:val="00225364"/>
    <w:rsid w:val="00226EDF"/>
    <w:rsid w:val="00227D18"/>
    <w:rsid w:val="00230CCC"/>
    <w:rsid w:val="00231D02"/>
    <w:rsid w:val="00231F95"/>
    <w:rsid w:val="0023276B"/>
    <w:rsid w:val="00233A5F"/>
    <w:rsid w:val="00233F04"/>
    <w:rsid w:val="002340BB"/>
    <w:rsid w:val="00234B39"/>
    <w:rsid w:val="00234DD8"/>
    <w:rsid w:val="00235CF4"/>
    <w:rsid w:val="00236419"/>
    <w:rsid w:val="00236696"/>
    <w:rsid w:val="002367F1"/>
    <w:rsid w:val="002375BF"/>
    <w:rsid w:val="002415FE"/>
    <w:rsid w:val="002422BE"/>
    <w:rsid w:val="00242AA8"/>
    <w:rsid w:val="00242BF5"/>
    <w:rsid w:val="00242EBF"/>
    <w:rsid w:val="00242FE1"/>
    <w:rsid w:val="00243B5E"/>
    <w:rsid w:val="002449F6"/>
    <w:rsid w:val="002475D2"/>
    <w:rsid w:val="00247A9F"/>
    <w:rsid w:val="00247F5B"/>
    <w:rsid w:val="002504B4"/>
    <w:rsid w:val="002504E8"/>
    <w:rsid w:val="0025284C"/>
    <w:rsid w:val="002528DE"/>
    <w:rsid w:val="0025316E"/>
    <w:rsid w:val="0025476A"/>
    <w:rsid w:val="002547C4"/>
    <w:rsid w:val="00254B7D"/>
    <w:rsid w:val="00254C88"/>
    <w:rsid w:val="0025541C"/>
    <w:rsid w:val="0025549F"/>
    <w:rsid w:val="00255C22"/>
    <w:rsid w:val="00255D3D"/>
    <w:rsid w:val="002562ED"/>
    <w:rsid w:val="002563A7"/>
    <w:rsid w:val="00257D74"/>
    <w:rsid w:val="00257E9B"/>
    <w:rsid w:val="00257F64"/>
    <w:rsid w:val="00260802"/>
    <w:rsid w:val="00260BCD"/>
    <w:rsid w:val="00262141"/>
    <w:rsid w:val="002622F4"/>
    <w:rsid w:val="00262548"/>
    <w:rsid w:val="00263456"/>
    <w:rsid w:val="0026359C"/>
    <w:rsid w:val="00263A96"/>
    <w:rsid w:val="00263D5F"/>
    <w:rsid w:val="00263D9C"/>
    <w:rsid w:val="002652EA"/>
    <w:rsid w:val="00265C72"/>
    <w:rsid w:val="00266359"/>
    <w:rsid w:val="002663CE"/>
    <w:rsid w:val="00270726"/>
    <w:rsid w:val="002709A3"/>
    <w:rsid w:val="00270A4C"/>
    <w:rsid w:val="00270B8D"/>
    <w:rsid w:val="00271F8F"/>
    <w:rsid w:val="0027436A"/>
    <w:rsid w:val="0027488B"/>
    <w:rsid w:val="00274B89"/>
    <w:rsid w:val="0027744C"/>
    <w:rsid w:val="0028004B"/>
    <w:rsid w:val="002805D5"/>
    <w:rsid w:val="00281063"/>
    <w:rsid w:val="002813E1"/>
    <w:rsid w:val="00282246"/>
    <w:rsid w:val="002828D4"/>
    <w:rsid w:val="00283273"/>
    <w:rsid w:val="00283876"/>
    <w:rsid w:val="00284A9C"/>
    <w:rsid w:val="00285581"/>
    <w:rsid w:val="002861A4"/>
    <w:rsid w:val="002868E4"/>
    <w:rsid w:val="002873AC"/>
    <w:rsid w:val="002905C5"/>
    <w:rsid w:val="00290C5B"/>
    <w:rsid w:val="00291948"/>
    <w:rsid w:val="002919CA"/>
    <w:rsid w:val="00291BF3"/>
    <w:rsid w:val="00292626"/>
    <w:rsid w:val="00292C5E"/>
    <w:rsid w:val="00292E6E"/>
    <w:rsid w:val="002937E8"/>
    <w:rsid w:val="002942D1"/>
    <w:rsid w:val="002944C6"/>
    <w:rsid w:val="0029479D"/>
    <w:rsid w:val="00294959"/>
    <w:rsid w:val="00294AA0"/>
    <w:rsid w:val="00295073"/>
    <w:rsid w:val="002953CC"/>
    <w:rsid w:val="002953FF"/>
    <w:rsid w:val="002954FC"/>
    <w:rsid w:val="00296913"/>
    <w:rsid w:val="002A0C4E"/>
    <w:rsid w:val="002A0CF7"/>
    <w:rsid w:val="002A1050"/>
    <w:rsid w:val="002A17E8"/>
    <w:rsid w:val="002A1927"/>
    <w:rsid w:val="002A353D"/>
    <w:rsid w:val="002A38E5"/>
    <w:rsid w:val="002A4FFE"/>
    <w:rsid w:val="002A5B69"/>
    <w:rsid w:val="002A6BBA"/>
    <w:rsid w:val="002A6CF9"/>
    <w:rsid w:val="002A70C6"/>
    <w:rsid w:val="002A7C56"/>
    <w:rsid w:val="002B0BAF"/>
    <w:rsid w:val="002B113D"/>
    <w:rsid w:val="002B12EB"/>
    <w:rsid w:val="002B1C4B"/>
    <w:rsid w:val="002B2B31"/>
    <w:rsid w:val="002B2CA9"/>
    <w:rsid w:val="002B3888"/>
    <w:rsid w:val="002B3987"/>
    <w:rsid w:val="002B3B5F"/>
    <w:rsid w:val="002B3EA9"/>
    <w:rsid w:val="002B40F2"/>
    <w:rsid w:val="002B47AC"/>
    <w:rsid w:val="002B4DD0"/>
    <w:rsid w:val="002B581A"/>
    <w:rsid w:val="002B5C43"/>
    <w:rsid w:val="002B6AC4"/>
    <w:rsid w:val="002C0C89"/>
    <w:rsid w:val="002C0E68"/>
    <w:rsid w:val="002C1636"/>
    <w:rsid w:val="002C1732"/>
    <w:rsid w:val="002C1863"/>
    <w:rsid w:val="002C1BFE"/>
    <w:rsid w:val="002C2065"/>
    <w:rsid w:val="002C2892"/>
    <w:rsid w:val="002C352D"/>
    <w:rsid w:val="002C379E"/>
    <w:rsid w:val="002C38D6"/>
    <w:rsid w:val="002C423F"/>
    <w:rsid w:val="002C51CE"/>
    <w:rsid w:val="002C5338"/>
    <w:rsid w:val="002C6766"/>
    <w:rsid w:val="002C69BD"/>
    <w:rsid w:val="002C7150"/>
    <w:rsid w:val="002C7B44"/>
    <w:rsid w:val="002C7C5D"/>
    <w:rsid w:val="002C7CBB"/>
    <w:rsid w:val="002D011D"/>
    <w:rsid w:val="002D046B"/>
    <w:rsid w:val="002D08B1"/>
    <w:rsid w:val="002D0F40"/>
    <w:rsid w:val="002D1791"/>
    <w:rsid w:val="002D215B"/>
    <w:rsid w:val="002D22FB"/>
    <w:rsid w:val="002D279A"/>
    <w:rsid w:val="002D28A7"/>
    <w:rsid w:val="002D2B89"/>
    <w:rsid w:val="002D3551"/>
    <w:rsid w:val="002D4E86"/>
    <w:rsid w:val="002D528B"/>
    <w:rsid w:val="002D534D"/>
    <w:rsid w:val="002D5887"/>
    <w:rsid w:val="002D5D96"/>
    <w:rsid w:val="002D61DB"/>
    <w:rsid w:val="002D7B9A"/>
    <w:rsid w:val="002D7FD7"/>
    <w:rsid w:val="002E100B"/>
    <w:rsid w:val="002E106A"/>
    <w:rsid w:val="002E4299"/>
    <w:rsid w:val="002E4BC5"/>
    <w:rsid w:val="002E554E"/>
    <w:rsid w:val="002E5C86"/>
    <w:rsid w:val="002E5E24"/>
    <w:rsid w:val="002E6022"/>
    <w:rsid w:val="002E6520"/>
    <w:rsid w:val="002E755D"/>
    <w:rsid w:val="002E7B36"/>
    <w:rsid w:val="002F09F6"/>
    <w:rsid w:val="002F1095"/>
    <w:rsid w:val="002F219D"/>
    <w:rsid w:val="002F23AE"/>
    <w:rsid w:val="002F29F3"/>
    <w:rsid w:val="002F2BE4"/>
    <w:rsid w:val="002F30D8"/>
    <w:rsid w:val="002F3D73"/>
    <w:rsid w:val="002F40F8"/>
    <w:rsid w:val="002F4362"/>
    <w:rsid w:val="002F4435"/>
    <w:rsid w:val="002F4F67"/>
    <w:rsid w:val="002F5143"/>
    <w:rsid w:val="002F5491"/>
    <w:rsid w:val="002F595A"/>
    <w:rsid w:val="002F5B42"/>
    <w:rsid w:val="002F78DC"/>
    <w:rsid w:val="002F7D7D"/>
    <w:rsid w:val="00301B54"/>
    <w:rsid w:val="0030267D"/>
    <w:rsid w:val="00303C29"/>
    <w:rsid w:val="00303CBE"/>
    <w:rsid w:val="00303F70"/>
    <w:rsid w:val="0030488B"/>
    <w:rsid w:val="00304955"/>
    <w:rsid w:val="003056BB"/>
    <w:rsid w:val="00305AE1"/>
    <w:rsid w:val="00305F1F"/>
    <w:rsid w:val="00306E69"/>
    <w:rsid w:val="003074D7"/>
    <w:rsid w:val="00307531"/>
    <w:rsid w:val="003112F1"/>
    <w:rsid w:val="00311E92"/>
    <w:rsid w:val="00313BAF"/>
    <w:rsid w:val="00313F15"/>
    <w:rsid w:val="0031506A"/>
    <w:rsid w:val="00315FC1"/>
    <w:rsid w:val="00316702"/>
    <w:rsid w:val="00316D2C"/>
    <w:rsid w:val="00316DCB"/>
    <w:rsid w:val="003170C0"/>
    <w:rsid w:val="00317DD1"/>
    <w:rsid w:val="00320D53"/>
    <w:rsid w:val="00321ABB"/>
    <w:rsid w:val="0032253F"/>
    <w:rsid w:val="003225FC"/>
    <w:rsid w:val="00322BAA"/>
    <w:rsid w:val="00322C58"/>
    <w:rsid w:val="00322E16"/>
    <w:rsid w:val="0032315E"/>
    <w:rsid w:val="003234FB"/>
    <w:rsid w:val="003248EF"/>
    <w:rsid w:val="00325519"/>
    <w:rsid w:val="0032563B"/>
    <w:rsid w:val="003264A3"/>
    <w:rsid w:val="00326B72"/>
    <w:rsid w:val="00327056"/>
    <w:rsid w:val="003270A9"/>
    <w:rsid w:val="00327FBB"/>
    <w:rsid w:val="00332A7D"/>
    <w:rsid w:val="00333757"/>
    <w:rsid w:val="003341AE"/>
    <w:rsid w:val="003348E2"/>
    <w:rsid w:val="00340310"/>
    <w:rsid w:val="0034065B"/>
    <w:rsid w:val="00340D63"/>
    <w:rsid w:val="00340F1E"/>
    <w:rsid w:val="00340F20"/>
    <w:rsid w:val="003416E8"/>
    <w:rsid w:val="0034210E"/>
    <w:rsid w:val="00342723"/>
    <w:rsid w:val="0034272F"/>
    <w:rsid w:val="00343F98"/>
    <w:rsid w:val="0034447B"/>
    <w:rsid w:val="00344E4A"/>
    <w:rsid w:val="003452A7"/>
    <w:rsid w:val="003469EC"/>
    <w:rsid w:val="00347188"/>
    <w:rsid w:val="00347947"/>
    <w:rsid w:val="00347BCD"/>
    <w:rsid w:val="0035037E"/>
    <w:rsid w:val="00350882"/>
    <w:rsid w:val="00350B3C"/>
    <w:rsid w:val="00351016"/>
    <w:rsid w:val="00351A09"/>
    <w:rsid w:val="003530C1"/>
    <w:rsid w:val="00353751"/>
    <w:rsid w:val="00353EB8"/>
    <w:rsid w:val="0035443D"/>
    <w:rsid w:val="00355019"/>
    <w:rsid w:val="00355B47"/>
    <w:rsid w:val="00356326"/>
    <w:rsid w:val="0035648C"/>
    <w:rsid w:val="00360391"/>
    <w:rsid w:val="00360820"/>
    <w:rsid w:val="00360ED3"/>
    <w:rsid w:val="00361A51"/>
    <w:rsid w:val="003628EE"/>
    <w:rsid w:val="003630A2"/>
    <w:rsid w:val="00363825"/>
    <w:rsid w:val="00363A0E"/>
    <w:rsid w:val="0036407B"/>
    <w:rsid w:val="003647B5"/>
    <w:rsid w:val="0036496D"/>
    <w:rsid w:val="00364F85"/>
    <w:rsid w:val="00365C3E"/>
    <w:rsid w:val="00365D1B"/>
    <w:rsid w:val="003661A9"/>
    <w:rsid w:val="00366D41"/>
    <w:rsid w:val="00366F48"/>
    <w:rsid w:val="0036751B"/>
    <w:rsid w:val="00367EA2"/>
    <w:rsid w:val="00370142"/>
    <w:rsid w:val="00370A5C"/>
    <w:rsid w:val="00370E77"/>
    <w:rsid w:val="0037190E"/>
    <w:rsid w:val="003719ED"/>
    <w:rsid w:val="00371ACF"/>
    <w:rsid w:val="003720DF"/>
    <w:rsid w:val="003729AF"/>
    <w:rsid w:val="00372ECC"/>
    <w:rsid w:val="003732A8"/>
    <w:rsid w:val="003743FA"/>
    <w:rsid w:val="00374CBE"/>
    <w:rsid w:val="00375820"/>
    <w:rsid w:val="00376884"/>
    <w:rsid w:val="00376A26"/>
    <w:rsid w:val="00376F27"/>
    <w:rsid w:val="00381E02"/>
    <w:rsid w:val="00382332"/>
    <w:rsid w:val="00382476"/>
    <w:rsid w:val="00382C32"/>
    <w:rsid w:val="003831AD"/>
    <w:rsid w:val="00383C42"/>
    <w:rsid w:val="00383DB4"/>
    <w:rsid w:val="0038460A"/>
    <w:rsid w:val="0038598C"/>
    <w:rsid w:val="00386922"/>
    <w:rsid w:val="003872B0"/>
    <w:rsid w:val="0038741B"/>
    <w:rsid w:val="00387491"/>
    <w:rsid w:val="00387E79"/>
    <w:rsid w:val="0039009B"/>
    <w:rsid w:val="0039024A"/>
    <w:rsid w:val="003905A8"/>
    <w:rsid w:val="00393EBE"/>
    <w:rsid w:val="00394164"/>
    <w:rsid w:val="00396ECC"/>
    <w:rsid w:val="0039784E"/>
    <w:rsid w:val="003A024B"/>
    <w:rsid w:val="003A147E"/>
    <w:rsid w:val="003A1645"/>
    <w:rsid w:val="003A1DE9"/>
    <w:rsid w:val="003A2B79"/>
    <w:rsid w:val="003A2FCC"/>
    <w:rsid w:val="003A34F7"/>
    <w:rsid w:val="003A3E86"/>
    <w:rsid w:val="003A49DC"/>
    <w:rsid w:val="003A547F"/>
    <w:rsid w:val="003A5681"/>
    <w:rsid w:val="003A5A43"/>
    <w:rsid w:val="003A5B5C"/>
    <w:rsid w:val="003A5D21"/>
    <w:rsid w:val="003A6B3F"/>
    <w:rsid w:val="003A6F48"/>
    <w:rsid w:val="003A7275"/>
    <w:rsid w:val="003A7C96"/>
    <w:rsid w:val="003B0930"/>
    <w:rsid w:val="003B0C1B"/>
    <w:rsid w:val="003B0FE8"/>
    <w:rsid w:val="003B39D4"/>
    <w:rsid w:val="003B49C4"/>
    <w:rsid w:val="003B5C6F"/>
    <w:rsid w:val="003B5EB3"/>
    <w:rsid w:val="003B61BD"/>
    <w:rsid w:val="003B6C08"/>
    <w:rsid w:val="003B781E"/>
    <w:rsid w:val="003C01FA"/>
    <w:rsid w:val="003C09F7"/>
    <w:rsid w:val="003C3A09"/>
    <w:rsid w:val="003C46FD"/>
    <w:rsid w:val="003C579F"/>
    <w:rsid w:val="003C5DF3"/>
    <w:rsid w:val="003C6CAD"/>
    <w:rsid w:val="003C7318"/>
    <w:rsid w:val="003D00E9"/>
    <w:rsid w:val="003D0125"/>
    <w:rsid w:val="003D01B1"/>
    <w:rsid w:val="003D028B"/>
    <w:rsid w:val="003D05A6"/>
    <w:rsid w:val="003D0891"/>
    <w:rsid w:val="003D18EE"/>
    <w:rsid w:val="003D218A"/>
    <w:rsid w:val="003D2512"/>
    <w:rsid w:val="003D3027"/>
    <w:rsid w:val="003D34AD"/>
    <w:rsid w:val="003D468D"/>
    <w:rsid w:val="003D48DD"/>
    <w:rsid w:val="003D4E0A"/>
    <w:rsid w:val="003D4EAA"/>
    <w:rsid w:val="003D58DE"/>
    <w:rsid w:val="003D58F3"/>
    <w:rsid w:val="003D5907"/>
    <w:rsid w:val="003D5A91"/>
    <w:rsid w:val="003D5D6A"/>
    <w:rsid w:val="003D637D"/>
    <w:rsid w:val="003D7B82"/>
    <w:rsid w:val="003E0531"/>
    <w:rsid w:val="003E07EE"/>
    <w:rsid w:val="003E1028"/>
    <w:rsid w:val="003E2751"/>
    <w:rsid w:val="003E444B"/>
    <w:rsid w:val="003E5AB6"/>
    <w:rsid w:val="003E5E5C"/>
    <w:rsid w:val="003E6185"/>
    <w:rsid w:val="003E70E7"/>
    <w:rsid w:val="003F1262"/>
    <w:rsid w:val="003F1B17"/>
    <w:rsid w:val="003F4BC3"/>
    <w:rsid w:val="003F5FE8"/>
    <w:rsid w:val="003F635B"/>
    <w:rsid w:val="003F6CA2"/>
    <w:rsid w:val="003F7136"/>
    <w:rsid w:val="003F7CF6"/>
    <w:rsid w:val="004004D0"/>
    <w:rsid w:val="00400580"/>
    <w:rsid w:val="00402805"/>
    <w:rsid w:val="00402AB4"/>
    <w:rsid w:val="004037BA"/>
    <w:rsid w:val="00404C0C"/>
    <w:rsid w:val="004050E9"/>
    <w:rsid w:val="00405725"/>
    <w:rsid w:val="00405D45"/>
    <w:rsid w:val="004067B6"/>
    <w:rsid w:val="0040690D"/>
    <w:rsid w:val="00407085"/>
    <w:rsid w:val="00407819"/>
    <w:rsid w:val="00407BD5"/>
    <w:rsid w:val="004115DB"/>
    <w:rsid w:val="00411E19"/>
    <w:rsid w:val="004141B5"/>
    <w:rsid w:val="0041688A"/>
    <w:rsid w:val="00416C2C"/>
    <w:rsid w:val="00417F54"/>
    <w:rsid w:val="0042016F"/>
    <w:rsid w:val="00420630"/>
    <w:rsid w:val="00420EFF"/>
    <w:rsid w:val="004226EA"/>
    <w:rsid w:val="004232B5"/>
    <w:rsid w:val="00424CE8"/>
    <w:rsid w:val="00425361"/>
    <w:rsid w:val="004260E2"/>
    <w:rsid w:val="00426540"/>
    <w:rsid w:val="00426CBD"/>
    <w:rsid w:val="00430885"/>
    <w:rsid w:val="00430C59"/>
    <w:rsid w:val="00431EC3"/>
    <w:rsid w:val="004320E8"/>
    <w:rsid w:val="004329A1"/>
    <w:rsid w:val="0043322F"/>
    <w:rsid w:val="0043356B"/>
    <w:rsid w:val="004336D2"/>
    <w:rsid w:val="00434083"/>
    <w:rsid w:val="004341DA"/>
    <w:rsid w:val="00435641"/>
    <w:rsid w:val="004358B7"/>
    <w:rsid w:val="00435C1B"/>
    <w:rsid w:val="00435C39"/>
    <w:rsid w:val="004364D0"/>
    <w:rsid w:val="00436EAD"/>
    <w:rsid w:val="00441BBD"/>
    <w:rsid w:val="00442C77"/>
    <w:rsid w:val="004444F1"/>
    <w:rsid w:val="004450E0"/>
    <w:rsid w:val="0044552A"/>
    <w:rsid w:val="0044559F"/>
    <w:rsid w:val="00445EA5"/>
    <w:rsid w:val="00446611"/>
    <w:rsid w:val="00446928"/>
    <w:rsid w:val="00447328"/>
    <w:rsid w:val="0044736D"/>
    <w:rsid w:val="0044744C"/>
    <w:rsid w:val="00447E8F"/>
    <w:rsid w:val="00447EC9"/>
    <w:rsid w:val="00450305"/>
    <w:rsid w:val="00450A60"/>
    <w:rsid w:val="00450EC5"/>
    <w:rsid w:val="0045176E"/>
    <w:rsid w:val="00452050"/>
    <w:rsid w:val="004523AC"/>
    <w:rsid w:val="004536E4"/>
    <w:rsid w:val="0045402E"/>
    <w:rsid w:val="00454544"/>
    <w:rsid w:val="00454BCD"/>
    <w:rsid w:val="004552EF"/>
    <w:rsid w:val="0045655E"/>
    <w:rsid w:val="00457AE3"/>
    <w:rsid w:val="004601AE"/>
    <w:rsid w:val="0046041A"/>
    <w:rsid w:val="004607F9"/>
    <w:rsid w:val="00461815"/>
    <w:rsid w:val="00461DD9"/>
    <w:rsid w:val="00462515"/>
    <w:rsid w:val="00463282"/>
    <w:rsid w:val="00464071"/>
    <w:rsid w:val="00464956"/>
    <w:rsid w:val="00464BAA"/>
    <w:rsid w:val="00466139"/>
    <w:rsid w:val="00466B71"/>
    <w:rsid w:val="00466D92"/>
    <w:rsid w:val="00466E7E"/>
    <w:rsid w:val="00470286"/>
    <w:rsid w:val="0047257A"/>
    <w:rsid w:val="00473254"/>
    <w:rsid w:val="00473636"/>
    <w:rsid w:val="00474EEE"/>
    <w:rsid w:val="00475060"/>
    <w:rsid w:val="0047550C"/>
    <w:rsid w:val="00475E48"/>
    <w:rsid w:val="00476853"/>
    <w:rsid w:val="004771D8"/>
    <w:rsid w:val="004775DD"/>
    <w:rsid w:val="00480447"/>
    <w:rsid w:val="00480738"/>
    <w:rsid w:val="00480866"/>
    <w:rsid w:val="00480B7A"/>
    <w:rsid w:val="00481080"/>
    <w:rsid w:val="00481D4F"/>
    <w:rsid w:val="00482BE5"/>
    <w:rsid w:val="0048378F"/>
    <w:rsid w:val="0048424E"/>
    <w:rsid w:val="00484A8C"/>
    <w:rsid w:val="00484FB5"/>
    <w:rsid w:val="004851BC"/>
    <w:rsid w:val="00486766"/>
    <w:rsid w:val="0048687D"/>
    <w:rsid w:val="00486B12"/>
    <w:rsid w:val="004870E3"/>
    <w:rsid w:val="004873BC"/>
    <w:rsid w:val="0048795E"/>
    <w:rsid w:val="00490130"/>
    <w:rsid w:val="0049064C"/>
    <w:rsid w:val="00491DB1"/>
    <w:rsid w:val="004934D8"/>
    <w:rsid w:val="004936C8"/>
    <w:rsid w:val="00494991"/>
    <w:rsid w:val="00495131"/>
    <w:rsid w:val="0049584D"/>
    <w:rsid w:val="004958C0"/>
    <w:rsid w:val="004958E8"/>
    <w:rsid w:val="00495A8C"/>
    <w:rsid w:val="00495C7C"/>
    <w:rsid w:val="00495E39"/>
    <w:rsid w:val="0049610A"/>
    <w:rsid w:val="00497371"/>
    <w:rsid w:val="0049762B"/>
    <w:rsid w:val="004A09F5"/>
    <w:rsid w:val="004A0C3C"/>
    <w:rsid w:val="004A281B"/>
    <w:rsid w:val="004A32E9"/>
    <w:rsid w:val="004A556E"/>
    <w:rsid w:val="004A5C8E"/>
    <w:rsid w:val="004A62BF"/>
    <w:rsid w:val="004A65A3"/>
    <w:rsid w:val="004A6FDC"/>
    <w:rsid w:val="004A78A2"/>
    <w:rsid w:val="004A7ED3"/>
    <w:rsid w:val="004B15AB"/>
    <w:rsid w:val="004B18AA"/>
    <w:rsid w:val="004B1D3C"/>
    <w:rsid w:val="004B3433"/>
    <w:rsid w:val="004B4D7C"/>
    <w:rsid w:val="004B5237"/>
    <w:rsid w:val="004B7B3E"/>
    <w:rsid w:val="004B7B9D"/>
    <w:rsid w:val="004C082C"/>
    <w:rsid w:val="004C242A"/>
    <w:rsid w:val="004C26B9"/>
    <w:rsid w:val="004C2FB0"/>
    <w:rsid w:val="004C3496"/>
    <w:rsid w:val="004C3932"/>
    <w:rsid w:val="004C3EA0"/>
    <w:rsid w:val="004C3F3D"/>
    <w:rsid w:val="004C48E1"/>
    <w:rsid w:val="004C4A57"/>
    <w:rsid w:val="004C4E08"/>
    <w:rsid w:val="004C550C"/>
    <w:rsid w:val="004C639F"/>
    <w:rsid w:val="004C72DB"/>
    <w:rsid w:val="004C7968"/>
    <w:rsid w:val="004D0492"/>
    <w:rsid w:val="004D0D81"/>
    <w:rsid w:val="004D249D"/>
    <w:rsid w:val="004D2D1C"/>
    <w:rsid w:val="004D2D64"/>
    <w:rsid w:val="004D36AF"/>
    <w:rsid w:val="004D453E"/>
    <w:rsid w:val="004D769D"/>
    <w:rsid w:val="004D7AEF"/>
    <w:rsid w:val="004E0B69"/>
    <w:rsid w:val="004E0C5F"/>
    <w:rsid w:val="004E3C09"/>
    <w:rsid w:val="004E4067"/>
    <w:rsid w:val="004E47AE"/>
    <w:rsid w:val="004E5535"/>
    <w:rsid w:val="004E5975"/>
    <w:rsid w:val="004E5EE2"/>
    <w:rsid w:val="004F0485"/>
    <w:rsid w:val="004F0EFD"/>
    <w:rsid w:val="004F1373"/>
    <w:rsid w:val="004F2C75"/>
    <w:rsid w:val="004F2CD8"/>
    <w:rsid w:val="004F4106"/>
    <w:rsid w:val="004F4F4D"/>
    <w:rsid w:val="004F67F4"/>
    <w:rsid w:val="0050108D"/>
    <w:rsid w:val="00501801"/>
    <w:rsid w:val="00501A40"/>
    <w:rsid w:val="00502EB3"/>
    <w:rsid w:val="0050381F"/>
    <w:rsid w:val="00504441"/>
    <w:rsid w:val="005047C5"/>
    <w:rsid w:val="00505605"/>
    <w:rsid w:val="00505E35"/>
    <w:rsid w:val="005065CA"/>
    <w:rsid w:val="00507A40"/>
    <w:rsid w:val="0051138E"/>
    <w:rsid w:val="00511E90"/>
    <w:rsid w:val="00512373"/>
    <w:rsid w:val="0051239D"/>
    <w:rsid w:val="005125B5"/>
    <w:rsid w:val="00512E1C"/>
    <w:rsid w:val="005142CC"/>
    <w:rsid w:val="005144BE"/>
    <w:rsid w:val="005154F6"/>
    <w:rsid w:val="005158E4"/>
    <w:rsid w:val="00515D74"/>
    <w:rsid w:val="0051626A"/>
    <w:rsid w:val="00517E4E"/>
    <w:rsid w:val="00520103"/>
    <w:rsid w:val="00520992"/>
    <w:rsid w:val="00520C4C"/>
    <w:rsid w:val="00522663"/>
    <w:rsid w:val="00522CA6"/>
    <w:rsid w:val="00523C7D"/>
    <w:rsid w:val="00523CED"/>
    <w:rsid w:val="0052540B"/>
    <w:rsid w:val="00525444"/>
    <w:rsid w:val="005266E0"/>
    <w:rsid w:val="00527254"/>
    <w:rsid w:val="005279F5"/>
    <w:rsid w:val="00527BB7"/>
    <w:rsid w:val="00527CBD"/>
    <w:rsid w:val="00527ED9"/>
    <w:rsid w:val="00530035"/>
    <w:rsid w:val="005303C1"/>
    <w:rsid w:val="0053056C"/>
    <w:rsid w:val="005322D6"/>
    <w:rsid w:val="00532351"/>
    <w:rsid w:val="00532D10"/>
    <w:rsid w:val="00533878"/>
    <w:rsid w:val="00533A0C"/>
    <w:rsid w:val="005342ED"/>
    <w:rsid w:val="0053487F"/>
    <w:rsid w:val="00534A58"/>
    <w:rsid w:val="005352AC"/>
    <w:rsid w:val="00535C23"/>
    <w:rsid w:val="0053755E"/>
    <w:rsid w:val="0053768D"/>
    <w:rsid w:val="0053792E"/>
    <w:rsid w:val="0054086A"/>
    <w:rsid w:val="00540A8F"/>
    <w:rsid w:val="00540FA7"/>
    <w:rsid w:val="00541B6C"/>
    <w:rsid w:val="00542589"/>
    <w:rsid w:val="00543A82"/>
    <w:rsid w:val="00543D37"/>
    <w:rsid w:val="005440E4"/>
    <w:rsid w:val="00544E5C"/>
    <w:rsid w:val="00545062"/>
    <w:rsid w:val="00545362"/>
    <w:rsid w:val="005469B8"/>
    <w:rsid w:val="00546FD2"/>
    <w:rsid w:val="0055001F"/>
    <w:rsid w:val="00550350"/>
    <w:rsid w:val="005505D9"/>
    <w:rsid w:val="0055060C"/>
    <w:rsid w:val="00550757"/>
    <w:rsid w:val="00550DB3"/>
    <w:rsid w:val="00551192"/>
    <w:rsid w:val="00551C0E"/>
    <w:rsid w:val="00552030"/>
    <w:rsid w:val="0055233F"/>
    <w:rsid w:val="005523CE"/>
    <w:rsid w:val="005523EA"/>
    <w:rsid w:val="00552947"/>
    <w:rsid w:val="00552A0F"/>
    <w:rsid w:val="00552C72"/>
    <w:rsid w:val="00553DF3"/>
    <w:rsid w:val="00553E64"/>
    <w:rsid w:val="00555210"/>
    <w:rsid w:val="00555476"/>
    <w:rsid w:val="005569C5"/>
    <w:rsid w:val="00556EFE"/>
    <w:rsid w:val="005574F2"/>
    <w:rsid w:val="00557B82"/>
    <w:rsid w:val="0056006C"/>
    <w:rsid w:val="00560D9E"/>
    <w:rsid w:val="00561A54"/>
    <w:rsid w:val="0056257F"/>
    <w:rsid w:val="00562A2E"/>
    <w:rsid w:val="00562FD6"/>
    <w:rsid w:val="0056334E"/>
    <w:rsid w:val="0056350C"/>
    <w:rsid w:val="00564EB9"/>
    <w:rsid w:val="0056578D"/>
    <w:rsid w:val="00565B0C"/>
    <w:rsid w:val="00565DB0"/>
    <w:rsid w:val="00565ED5"/>
    <w:rsid w:val="00566494"/>
    <w:rsid w:val="00566918"/>
    <w:rsid w:val="00571018"/>
    <w:rsid w:val="005712F1"/>
    <w:rsid w:val="00571B07"/>
    <w:rsid w:val="00571DEE"/>
    <w:rsid w:val="005729AC"/>
    <w:rsid w:val="005730DF"/>
    <w:rsid w:val="00573307"/>
    <w:rsid w:val="00573F0B"/>
    <w:rsid w:val="00576C26"/>
    <w:rsid w:val="00576CC5"/>
    <w:rsid w:val="005775F3"/>
    <w:rsid w:val="00577DB7"/>
    <w:rsid w:val="00577E4F"/>
    <w:rsid w:val="005802BA"/>
    <w:rsid w:val="00580F1C"/>
    <w:rsid w:val="005813CD"/>
    <w:rsid w:val="00581847"/>
    <w:rsid w:val="00581A39"/>
    <w:rsid w:val="00581CF7"/>
    <w:rsid w:val="00582907"/>
    <w:rsid w:val="00583291"/>
    <w:rsid w:val="0058398E"/>
    <w:rsid w:val="005839AA"/>
    <w:rsid w:val="00585833"/>
    <w:rsid w:val="00585BA7"/>
    <w:rsid w:val="00587B4B"/>
    <w:rsid w:val="005901E8"/>
    <w:rsid w:val="005904BF"/>
    <w:rsid w:val="00591377"/>
    <w:rsid w:val="0059266F"/>
    <w:rsid w:val="00592C75"/>
    <w:rsid w:val="005940CB"/>
    <w:rsid w:val="005942BA"/>
    <w:rsid w:val="00594940"/>
    <w:rsid w:val="00595D2D"/>
    <w:rsid w:val="005969F3"/>
    <w:rsid w:val="00597425"/>
    <w:rsid w:val="005A0303"/>
    <w:rsid w:val="005A04A1"/>
    <w:rsid w:val="005A0951"/>
    <w:rsid w:val="005A1038"/>
    <w:rsid w:val="005A1599"/>
    <w:rsid w:val="005A1A93"/>
    <w:rsid w:val="005A2033"/>
    <w:rsid w:val="005A2312"/>
    <w:rsid w:val="005A4964"/>
    <w:rsid w:val="005A56EB"/>
    <w:rsid w:val="005A7977"/>
    <w:rsid w:val="005A7F70"/>
    <w:rsid w:val="005B03DD"/>
    <w:rsid w:val="005B08D0"/>
    <w:rsid w:val="005B09D3"/>
    <w:rsid w:val="005B1492"/>
    <w:rsid w:val="005B1500"/>
    <w:rsid w:val="005B1AB1"/>
    <w:rsid w:val="005B2B81"/>
    <w:rsid w:val="005B2E4A"/>
    <w:rsid w:val="005B3BC8"/>
    <w:rsid w:val="005B4819"/>
    <w:rsid w:val="005B56DF"/>
    <w:rsid w:val="005B59D4"/>
    <w:rsid w:val="005B7C79"/>
    <w:rsid w:val="005C03B8"/>
    <w:rsid w:val="005C061A"/>
    <w:rsid w:val="005C0ABC"/>
    <w:rsid w:val="005C1303"/>
    <w:rsid w:val="005C17FC"/>
    <w:rsid w:val="005C2082"/>
    <w:rsid w:val="005C2334"/>
    <w:rsid w:val="005C3E0F"/>
    <w:rsid w:val="005C3F09"/>
    <w:rsid w:val="005C5F3F"/>
    <w:rsid w:val="005C75B7"/>
    <w:rsid w:val="005C7C1B"/>
    <w:rsid w:val="005D0490"/>
    <w:rsid w:val="005D192C"/>
    <w:rsid w:val="005D1CC8"/>
    <w:rsid w:val="005D2DAC"/>
    <w:rsid w:val="005D3810"/>
    <w:rsid w:val="005D3DCF"/>
    <w:rsid w:val="005D496D"/>
    <w:rsid w:val="005D5670"/>
    <w:rsid w:val="005D57D6"/>
    <w:rsid w:val="005D63C1"/>
    <w:rsid w:val="005D6C19"/>
    <w:rsid w:val="005D79DD"/>
    <w:rsid w:val="005E095B"/>
    <w:rsid w:val="005E0B13"/>
    <w:rsid w:val="005E144A"/>
    <w:rsid w:val="005E1609"/>
    <w:rsid w:val="005E170A"/>
    <w:rsid w:val="005E3531"/>
    <w:rsid w:val="005E35A0"/>
    <w:rsid w:val="005E4081"/>
    <w:rsid w:val="005E420B"/>
    <w:rsid w:val="005E609B"/>
    <w:rsid w:val="005F0215"/>
    <w:rsid w:val="005F051C"/>
    <w:rsid w:val="005F0E3D"/>
    <w:rsid w:val="005F0F47"/>
    <w:rsid w:val="005F11D4"/>
    <w:rsid w:val="005F212F"/>
    <w:rsid w:val="005F2640"/>
    <w:rsid w:val="005F2643"/>
    <w:rsid w:val="005F2B4A"/>
    <w:rsid w:val="005F374D"/>
    <w:rsid w:val="005F3A18"/>
    <w:rsid w:val="005F481B"/>
    <w:rsid w:val="005F518A"/>
    <w:rsid w:val="005F668B"/>
    <w:rsid w:val="005F732B"/>
    <w:rsid w:val="00600859"/>
    <w:rsid w:val="00600AAF"/>
    <w:rsid w:val="00600D9A"/>
    <w:rsid w:val="00601582"/>
    <w:rsid w:val="00602E45"/>
    <w:rsid w:val="0060354C"/>
    <w:rsid w:val="0060493A"/>
    <w:rsid w:val="0060513E"/>
    <w:rsid w:val="00606A2A"/>
    <w:rsid w:val="0061131B"/>
    <w:rsid w:val="006126C4"/>
    <w:rsid w:val="00612E8C"/>
    <w:rsid w:val="00613538"/>
    <w:rsid w:val="006136A0"/>
    <w:rsid w:val="00613BF1"/>
    <w:rsid w:val="00613E2F"/>
    <w:rsid w:val="006140E0"/>
    <w:rsid w:val="0061443F"/>
    <w:rsid w:val="00614500"/>
    <w:rsid w:val="006159A5"/>
    <w:rsid w:val="00616758"/>
    <w:rsid w:val="00616B9C"/>
    <w:rsid w:val="00617B65"/>
    <w:rsid w:val="00620AF6"/>
    <w:rsid w:val="00621707"/>
    <w:rsid w:val="00621AE4"/>
    <w:rsid w:val="00622600"/>
    <w:rsid w:val="00622F24"/>
    <w:rsid w:val="00625034"/>
    <w:rsid w:val="0062597F"/>
    <w:rsid w:val="006261DA"/>
    <w:rsid w:val="00626357"/>
    <w:rsid w:val="00626EB7"/>
    <w:rsid w:val="00627F87"/>
    <w:rsid w:val="00630B2C"/>
    <w:rsid w:val="00630E5A"/>
    <w:rsid w:val="00630E7E"/>
    <w:rsid w:val="00631024"/>
    <w:rsid w:val="00631874"/>
    <w:rsid w:val="0063262E"/>
    <w:rsid w:val="006327ED"/>
    <w:rsid w:val="0063428A"/>
    <w:rsid w:val="0063463B"/>
    <w:rsid w:val="006348E3"/>
    <w:rsid w:val="00634E2E"/>
    <w:rsid w:val="00635FBA"/>
    <w:rsid w:val="00636349"/>
    <w:rsid w:val="00640749"/>
    <w:rsid w:val="00641297"/>
    <w:rsid w:val="00641C01"/>
    <w:rsid w:val="00643290"/>
    <w:rsid w:val="00645ED1"/>
    <w:rsid w:val="00646CBE"/>
    <w:rsid w:val="00647FD4"/>
    <w:rsid w:val="00650229"/>
    <w:rsid w:val="0065028B"/>
    <w:rsid w:val="00650C26"/>
    <w:rsid w:val="00650FD1"/>
    <w:rsid w:val="0065169E"/>
    <w:rsid w:val="0065312D"/>
    <w:rsid w:val="006537FA"/>
    <w:rsid w:val="006558C3"/>
    <w:rsid w:val="00656447"/>
    <w:rsid w:val="00656D95"/>
    <w:rsid w:val="00656EE1"/>
    <w:rsid w:val="00657001"/>
    <w:rsid w:val="006577A4"/>
    <w:rsid w:val="00660141"/>
    <w:rsid w:val="006602F0"/>
    <w:rsid w:val="006604DD"/>
    <w:rsid w:val="006615A6"/>
    <w:rsid w:val="006617B9"/>
    <w:rsid w:val="00661D11"/>
    <w:rsid w:val="0066313E"/>
    <w:rsid w:val="00663BEC"/>
    <w:rsid w:val="00663FF9"/>
    <w:rsid w:val="006642B8"/>
    <w:rsid w:val="0066432E"/>
    <w:rsid w:val="0066549D"/>
    <w:rsid w:val="00665FA0"/>
    <w:rsid w:val="00667D77"/>
    <w:rsid w:val="006706B0"/>
    <w:rsid w:val="0067119A"/>
    <w:rsid w:val="0067178F"/>
    <w:rsid w:val="00671AB5"/>
    <w:rsid w:val="00671BF2"/>
    <w:rsid w:val="00671CE4"/>
    <w:rsid w:val="00672635"/>
    <w:rsid w:val="0067294C"/>
    <w:rsid w:val="00672EF9"/>
    <w:rsid w:val="006732BB"/>
    <w:rsid w:val="00673BF9"/>
    <w:rsid w:val="006751D8"/>
    <w:rsid w:val="00675557"/>
    <w:rsid w:val="00676345"/>
    <w:rsid w:val="006767D9"/>
    <w:rsid w:val="00677503"/>
    <w:rsid w:val="00677995"/>
    <w:rsid w:val="00680430"/>
    <w:rsid w:val="00681943"/>
    <w:rsid w:val="00683700"/>
    <w:rsid w:val="00683761"/>
    <w:rsid w:val="006849C4"/>
    <w:rsid w:val="00684DAA"/>
    <w:rsid w:val="00685AB7"/>
    <w:rsid w:val="006861B0"/>
    <w:rsid w:val="00686640"/>
    <w:rsid w:val="00686785"/>
    <w:rsid w:val="00686D32"/>
    <w:rsid w:val="006873F6"/>
    <w:rsid w:val="006906FC"/>
    <w:rsid w:val="00690999"/>
    <w:rsid w:val="00691471"/>
    <w:rsid w:val="00691587"/>
    <w:rsid w:val="00691B88"/>
    <w:rsid w:val="00691DED"/>
    <w:rsid w:val="006921A0"/>
    <w:rsid w:val="00692AAC"/>
    <w:rsid w:val="00693F5A"/>
    <w:rsid w:val="0069431B"/>
    <w:rsid w:val="006947A6"/>
    <w:rsid w:val="00694CA3"/>
    <w:rsid w:val="00695E97"/>
    <w:rsid w:val="0069672B"/>
    <w:rsid w:val="00697399"/>
    <w:rsid w:val="00697604"/>
    <w:rsid w:val="006977AE"/>
    <w:rsid w:val="0069789B"/>
    <w:rsid w:val="00697F3D"/>
    <w:rsid w:val="006A0064"/>
    <w:rsid w:val="006A1380"/>
    <w:rsid w:val="006A152A"/>
    <w:rsid w:val="006A1D8C"/>
    <w:rsid w:val="006A2DCA"/>
    <w:rsid w:val="006A3550"/>
    <w:rsid w:val="006A4C94"/>
    <w:rsid w:val="006A4DCE"/>
    <w:rsid w:val="006A575C"/>
    <w:rsid w:val="006A6582"/>
    <w:rsid w:val="006A7628"/>
    <w:rsid w:val="006B090A"/>
    <w:rsid w:val="006B0954"/>
    <w:rsid w:val="006B132B"/>
    <w:rsid w:val="006B2607"/>
    <w:rsid w:val="006B2ACC"/>
    <w:rsid w:val="006B3027"/>
    <w:rsid w:val="006B37F9"/>
    <w:rsid w:val="006B3D5B"/>
    <w:rsid w:val="006B3E40"/>
    <w:rsid w:val="006B3F82"/>
    <w:rsid w:val="006B4106"/>
    <w:rsid w:val="006B483E"/>
    <w:rsid w:val="006B4DE4"/>
    <w:rsid w:val="006B53A1"/>
    <w:rsid w:val="006B53D9"/>
    <w:rsid w:val="006B56F8"/>
    <w:rsid w:val="006B57D0"/>
    <w:rsid w:val="006B5D1F"/>
    <w:rsid w:val="006B5DBF"/>
    <w:rsid w:val="006B6717"/>
    <w:rsid w:val="006B7347"/>
    <w:rsid w:val="006C0BED"/>
    <w:rsid w:val="006C155C"/>
    <w:rsid w:val="006C15E8"/>
    <w:rsid w:val="006C1D57"/>
    <w:rsid w:val="006C218B"/>
    <w:rsid w:val="006C24B5"/>
    <w:rsid w:val="006C2698"/>
    <w:rsid w:val="006C3DF2"/>
    <w:rsid w:val="006C6DA0"/>
    <w:rsid w:val="006C6E3B"/>
    <w:rsid w:val="006C7920"/>
    <w:rsid w:val="006C7CA0"/>
    <w:rsid w:val="006C7E16"/>
    <w:rsid w:val="006C7F18"/>
    <w:rsid w:val="006D0B04"/>
    <w:rsid w:val="006D137C"/>
    <w:rsid w:val="006D18CC"/>
    <w:rsid w:val="006D1CBC"/>
    <w:rsid w:val="006D2222"/>
    <w:rsid w:val="006D2AC8"/>
    <w:rsid w:val="006D3148"/>
    <w:rsid w:val="006D3A5C"/>
    <w:rsid w:val="006D434E"/>
    <w:rsid w:val="006D4B51"/>
    <w:rsid w:val="006D4F87"/>
    <w:rsid w:val="006D7BD7"/>
    <w:rsid w:val="006E03D9"/>
    <w:rsid w:val="006E0611"/>
    <w:rsid w:val="006E1E98"/>
    <w:rsid w:val="006E3B58"/>
    <w:rsid w:val="006E4820"/>
    <w:rsid w:val="006E49E3"/>
    <w:rsid w:val="006E4A8B"/>
    <w:rsid w:val="006E4C50"/>
    <w:rsid w:val="006E595F"/>
    <w:rsid w:val="006E67FB"/>
    <w:rsid w:val="006E76A9"/>
    <w:rsid w:val="006F08AE"/>
    <w:rsid w:val="006F0E6D"/>
    <w:rsid w:val="006F234E"/>
    <w:rsid w:val="006F28A2"/>
    <w:rsid w:val="006F2DCC"/>
    <w:rsid w:val="006F3663"/>
    <w:rsid w:val="006F3BDA"/>
    <w:rsid w:val="006F53AB"/>
    <w:rsid w:val="006F5C59"/>
    <w:rsid w:val="006F5FBC"/>
    <w:rsid w:val="006F641D"/>
    <w:rsid w:val="006F646C"/>
    <w:rsid w:val="006F693C"/>
    <w:rsid w:val="006F716B"/>
    <w:rsid w:val="006F761C"/>
    <w:rsid w:val="006F782C"/>
    <w:rsid w:val="00700015"/>
    <w:rsid w:val="00701183"/>
    <w:rsid w:val="00701868"/>
    <w:rsid w:val="0070239E"/>
    <w:rsid w:val="00702985"/>
    <w:rsid w:val="00703BA2"/>
    <w:rsid w:val="00703C88"/>
    <w:rsid w:val="00703D61"/>
    <w:rsid w:val="007052D5"/>
    <w:rsid w:val="0070551B"/>
    <w:rsid w:val="00706C70"/>
    <w:rsid w:val="00710803"/>
    <w:rsid w:val="00711BA5"/>
    <w:rsid w:val="0071315A"/>
    <w:rsid w:val="007155DE"/>
    <w:rsid w:val="00716BCB"/>
    <w:rsid w:val="00716C07"/>
    <w:rsid w:val="0071714F"/>
    <w:rsid w:val="007174E1"/>
    <w:rsid w:val="00720115"/>
    <w:rsid w:val="00722EF7"/>
    <w:rsid w:val="00724B69"/>
    <w:rsid w:val="00724C65"/>
    <w:rsid w:val="00724D36"/>
    <w:rsid w:val="00725918"/>
    <w:rsid w:val="00726DF4"/>
    <w:rsid w:val="00727071"/>
    <w:rsid w:val="007304EB"/>
    <w:rsid w:val="0073058F"/>
    <w:rsid w:val="00730D4C"/>
    <w:rsid w:val="00731193"/>
    <w:rsid w:val="00731256"/>
    <w:rsid w:val="00731F2D"/>
    <w:rsid w:val="00732567"/>
    <w:rsid w:val="007328B3"/>
    <w:rsid w:val="00733633"/>
    <w:rsid w:val="0073395A"/>
    <w:rsid w:val="007343B1"/>
    <w:rsid w:val="0073460A"/>
    <w:rsid w:val="0073463D"/>
    <w:rsid w:val="0073577B"/>
    <w:rsid w:val="00735A0F"/>
    <w:rsid w:val="007372F7"/>
    <w:rsid w:val="00740058"/>
    <w:rsid w:val="00742F49"/>
    <w:rsid w:val="00744266"/>
    <w:rsid w:val="00744480"/>
    <w:rsid w:val="007453BB"/>
    <w:rsid w:val="0074750A"/>
    <w:rsid w:val="007505FA"/>
    <w:rsid w:val="0075097D"/>
    <w:rsid w:val="007512EB"/>
    <w:rsid w:val="00751C50"/>
    <w:rsid w:val="0075385C"/>
    <w:rsid w:val="0075385E"/>
    <w:rsid w:val="00753A8F"/>
    <w:rsid w:val="00757219"/>
    <w:rsid w:val="00757E58"/>
    <w:rsid w:val="00760B5E"/>
    <w:rsid w:val="00761111"/>
    <w:rsid w:val="00761EF8"/>
    <w:rsid w:val="007645E4"/>
    <w:rsid w:val="007645F6"/>
    <w:rsid w:val="0076464E"/>
    <w:rsid w:val="00764996"/>
    <w:rsid w:val="007656F1"/>
    <w:rsid w:val="0076579D"/>
    <w:rsid w:val="007666EF"/>
    <w:rsid w:val="00766F45"/>
    <w:rsid w:val="00767522"/>
    <w:rsid w:val="007676BF"/>
    <w:rsid w:val="00770D17"/>
    <w:rsid w:val="00771236"/>
    <w:rsid w:val="00771613"/>
    <w:rsid w:val="00771AEB"/>
    <w:rsid w:val="007738F0"/>
    <w:rsid w:val="00774AB6"/>
    <w:rsid w:val="00775425"/>
    <w:rsid w:val="007756CE"/>
    <w:rsid w:val="007771C7"/>
    <w:rsid w:val="007776E0"/>
    <w:rsid w:val="00777B51"/>
    <w:rsid w:val="007806C0"/>
    <w:rsid w:val="007812CC"/>
    <w:rsid w:val="00781654"/>
    <w:rsid w:val="00781C6A"/>
    <w:rsid w:val="00781C6C"/>
    <w:rsid w:val="00781DDB"/>
    <w:rsid w:val="00782A2A"/>
    <w:rsid w:val="0078357A"/>
    <w:rsid w:val="00784200"/>
    <w:rsid w:val="007850E8"/>
    <w:rsid w:val="0078524A"/>
    <w:rsid w:val="00785828"/>
    <w:rsid w:val="007860CA"/>
    <w:rsid w:val="00786228"/>
    <w:rsid w:val="00786BFC"/>
    <w:rsid w:val="00790509"/>
    <w:rsid w:val="00791180"/>
    <w:rsid w:val="00793086"/>
    <w:rsid w:val="00794281"/>
    <w:rsid w:val="007948CD"/>
    <w:rsid w:val="007948F5"/>
    <w:rsid w:val="00797A37"/>
    <w:rsid w:val="007A1C4A"/>
    <w:rsid w:val="007A1DDF"/>
    <w:rsid w:val="007A1F46"/>
    <w:rsid w:val="007A2781"/>
    <w:rsid w:val="007A29AE"/>
    <w:rsid w:val="007A30FA"/>
    <w:rsid w:val="007A316D"/>
    <w:rsid w:val="007A37BB"/>
    <w:rsid w:val="007A38DD"/>
    <w:rsid w:val="007A3BEE"/>
    <w:rsid w:val="007A40AB"/>
    <w:rsid w:val="007A502E"/>
    <w:rsid w:val="007A5FC8"/>
    <w:rsid w:val="007A6012"/>
    <w:rsid w:val="007B01DD"/>
    <w:rsid w:val="007B05CA"/>
    <w:rsid w:val="007B07CA"/>
    <w:rsid w:val="007B106A"/>
    <w:rsid w:val="007B1276"/>
    <w:rsid w:val="007B141D"/>
    <w:rsid w:val="007B267A"/>
    <w:rsid w:val="007B2948"/>
    <w:rsid w:val="007B325F"/>
    <w:rsid w:val="007B43BB"/>
    <w:rsid w:val="007B53A1"/>
    <w:rsid w:val="007B57FC"/>
    <w:rsid w:val="007B5A50"/>
    <w:rsid w:val="007B68D1"/>
    <w:rsid w:val="007B7512"/>
    <w:rsid w:val="007B7C35"/>
    <w:rsid w:val="007C082F"/>
    <w:rsid w:val="007C1CF5"/>
    <w:rsid w:val="007C20D3"/>
    <w:rsid w:val="007C2953"/>
    <w:rsid w:val="007C2E3D"/>
    <w:rsid w:val="007C3121"/>
    <w:rsid w:val="007C3DD1"/>
    <w:rsid w:val="007C44BD"/>
    <w:rsid w:val="007C5069"/>
    <w:rsid w:val="007C5240"/>
    <w:rsid w:val="007C543D"/>
    <w:rsid w:val="007C565F"/>
    <w:rsid w:val="007C6B52"/>
    <w:rsid w:val="007C6DAB"/>
    <w:rsid w:val="007C7279"/>
    <w:rsid w:val="007C788F"/>
    <w:rsid w:val="007D07DA"/>
    <w:rsid w:val="007D3C8D"/>
    <w:rsid w:val="007D4765"/>
    <w:rsid w:val="007D50CE"/>
    <w:rsid w:val="007D5425"/>
    <w:rsid w:val="007D5A81"/>
    <w:rsid w:val="007D6646"/>
    <w:rsid w:val="007D6AFD"/>
    <w:rsid w:val="007D7568"/>
    <w:rsid w:val="007D776C"/>
    <w:rsid w:val="007E0483"/>
    <w:rsid w:val="007E16F8"/>
    <w:rsid w:val="007E1C9E"/>
    <w:rsid w:val="007E21A0"/>
    <w:rsid w:val="007E27E6"/>
    <w:rsid w:val="007E281C"/>
    <w:rsid w:val="007E2B77"/>
    <w:rsid w:val="007E2EC1"/>
    <w:rsid w:val="007E3B8B"/>
    <w:rsid w:val="007E4367"/>
    <w:rsid w:val="007E5462"/>
    <w:rsid w:val="007E5862"/>
    <w:rsid w:val="007E5BCB"/>
    <w:rsid w:val="007E6A41"/>
    <w:rsid w:val="007E7AA7"/>
    <w:rsid w:val="007F28DB"/>
    <w:rsid w:val="007F2C57"/>
    <w:rsid w:val="007F358C"/>
    <w:rsid w:val="007F3E83"/>
    <w:rsid w:val="007F4101"/>
    <w:rsid w:val="007F44D4"/>
    <w:rsid w:val="007F60A3"/>
    <w:rsid w:val="007F7586"/>
    <w:rsid w:val="007F75E4"/>
    <w:rsid w:val="00800236"/>
    <w:rsid w:val="008008BA"/>
    <w:rsid w:val="00800A7D"/>
    <w:rsid w:val="0080149B"/>
    <w:rsid w:val="00802163"/>
    <w:rsid w:val="00803DB5"/>
    <w:rsid w:val="008040F9"/>
    <w:rsid w:val="008055F9"/>
    <w:rsid w:val="00805AD5"/>
    <w:rsid w:val="00805C02"/>
    <w:rsid w:val="008060F8"/>
    <w:rsid w:val="00806EC1"/>
    <w:rsid w:val="008074E8"/>
    <w:rsid w:val="00807C0B"/>
    <w:rsid w:val="00807F62"/>
    <w:rsid w:val="0081077D"/>
    <w:rsid w:val="00810AD4"/>
    <w:rsid w:val="00810BB4"/>
    <w:rsid w:val="00811905"/>
    <w:rsid w:val="00811B0C"/>
    <w:rsid w:val="00812924"/>
    <w:rsid w:val="00814039"/>
    <w:rsid w:val="008144C1"/>
    <w:rsid w:val="008145EF"/>
    <w:rsid w:val="008146C0"/>
    <w:rsid w:val="00815344"/>
    <w:rsid w:val="008175F6"/>
    <w:rsid w:val="008176C7"/>
    <w:rsid w:val="00820761"/>
    <w:rsid w:val="008207E4"/>
    <w:rsid w:val="008218E6"/>
    <w:rsid w:val="00821F1F"/>
    <w:rsid w:val="00822D71"/>
    <w:rsid w:val="00822E13"/>
    <w:rsid w:val="0082412C"/>
    <w:rsid w:val="0082444A"/>
    <w:rsid w:val="00825997"/>
    <w:rsid w:val="00826471"/>
    <w:rsid w:val="008303BD"/>
    <w:rsid w:val="00830C1D"/>
    <w:rsid w:val="00831882"/>
    <w:rsid w:val="00831AF2"/>
    <w:rsid w:val="00832246"/>
    <w:rsid w:val="00833BA4"/>
    <w:rsid w:val="00833D8C"/>
    <w:rsid w:val="00833E77"/>
    <w:rsid w:val="008345AC"/>
    <w:rsid w:val="00834A0C"/>
    <w:rsid w:val="00834AD0"/>
    <w:rsid w:val="00834EA3"/>
    <w:rsid w:val="008355A8"/>
    <w:rsid w:val="008355F5"/>
    <w:rsid w:val="008357D9"/>
    <w:rsid w:val="0083686B"/>
    <w:rsid w:val="00836F03"/>
    <w:rsid w:val="008374BA"/>
    <w:rsid w:val="00837508"/>
    <w:rsid w:val="00837750"/>
    <w:rsid w:val="00837C19"/>
    <w:rsid w:val="00841334"/>
    <w:rsid w:val="008414B2"/>
    <w:rsid w:val="008417DE"/>
    <w:rsid w:val="00841910"/>
    <w:rsid w:val="00841A10"/>
    <w:rsid w:val="00842C0B"/>
    <w:rsid w:val="008439F6"/>
    <w:rsid w:val="00843D6F"/>
    <w:rsid w:val="008441F4"/>
    <w:rsid w:val="00844223"/>
    <w:rsid w:val="00844527"/>
    <w:rsid w:val="008453D6"/>
    <w:rsid w:val="0084542C"/>
    <w:rsid w:val="0084653C"/>
    <w:rsid w:val="00846A5A"/>
    <w:rsid w:val="0085010E"/>
    <w:rsid w:val="00850438"/>
    <w:rsid w:val="00850497"/>
    <w:rsid w:val="00854DF7"/>
    <w:rsid w:val="00855514"/>
    <w:rsid w:val="00855A58"/>
    <w:rsid w:val="00855C45"/>
    <w:rsid w:val="008564EB"/>
    <w:rsid w:val="00857075"/>
    <w:rsid w:val="00860426"/>
    <w:rsid w:val="008604AA"/>
    <w:rsid w:val="008619A4"/>
    <w:rsid w:val="00861BA9"/>
    <w:rsid w:val="00862488"/>
    <w:rsid w:val="0086314F"/>
    <w:rsid w:val="00863EAA"/>
    <w:rsid w:val="00864338"/>
    <w:rsid w:val="00864925"/>
    <w:rsid w:val="00865571"/>
    <w:rsid w:val="008668E3"/>
    <w:rsid w:val="00866FE3"/>
    <w:rsid w:val="00870935"/>
    <w:rsid w:val="00871288"/>
    <w:rsid w:val="00871FAD"/>
    <w:rsid w:val="0087256D"/>
    <w:rsid w:val="008729FB"/>
    <w:rsid w:val="00873A58"/>
    <w:rsid w:val="00874A3C"/>
    <w:rsid w:val="00874A4D"/>
    <w:rsid w:val="00874B1F"/>
    <w:rsid w:val="00874B8C"/>
    <w:rsid w:val="00880ADF"/>
    <w:rsid w:val="008813A8"/>
    <w:rsid w:val="00881C96"/>
    <w:rsid w:val="00883148"/>
    <w:rsid w:val="00883218"/>
    <w:rsid w:val="00883D2B"/>
    <w:rsid w:val="00883ECB"/>
    <w:rsid w:val="00886B39"/>
    <w:rsid w:val="00887681"/>
    <w:rsid w:val="008879E4"/>
    <w:rsid w:val="00890F76"/>
    <w:rsid w:val="00892737"/>
    <w:rsid w:val="00893245"/>
    <w:rsid w:val="00894786"/>
    <w:rsid w:val="00895744"/>
    <w:rsid w:val="00895A43"/>
    <w:rsid w:val="00896251"/>
    <w:rsid w:val="0089679D"/>
    <w:rsid w:val="008A0488"/>
    <w:rsid w:val="008A07FE"/>
    <w:rsid w:val="008A091F"/>
    <w:rsid w:val="008A16EC"/>
    <w:rsid w:val="008A1C0D"/>
    <w:rsid w:val="008A29DF"/>
    <w:rsid w:val="008A3059"/>
    <w:rsid w:val="008A39B5"/>
    <w:rsid w:val="008A39FA"/>
    <w:rsid w:val="008A4017"/>
    <w:rsid w:val="008A4073"/>
    <w:rsid w:val="008A49AC"/>
    <w:rsid w:val="008A5066"/>
    <w:rsid w:val="008A51D2"/>
    <w:rsid w:val="008A61E8"/>
    <w:rsid w:val="008B03C4"/>
    <w:rsid w:val="008B05E1"/>
    <w:rsid w:val="008B0F0C"/>
    <w:rsid w:val="008B203F"/>
    <w:rsid w:val="008B4055"/>
    <w:rsid w:val="008B449E"/>
    <w:rsid w:val="008B64DF"/>
    <w:rsid w:val="008B6590"/>
    <w:rsid w:val="008B6CD9"/>
    <w:rsid w:val="008C0121"/>
    <w:rsid w:val="008C0157"/>
    <w:rsid w:val="008C104B"/>
    <w:rsid w:val="008C1A7A"/>
    <w:rsid w:val="008C1FC5"/>
    <w:rsid w:val="008C254E"/>
    <w:rsid w:val="008C27E3"/>
    <w:rsid w:val="008C3653"/>
    <w:rsid w:val="008C3830"/>
    <w:rsid w:val="008C39A3"/>
    <w:rsid w:val="008C4605"/>
    <w:rsid w:val="008C4770"/>
    <w:rsid w:val="008C4A7A"/>
    <w:rsid w:val="008C4B6F"/>
    <w:rsid w:val="008C4FC3"/>
    <w:rsid w:val="008C6876"/>
    <w:rsid w:val="008C740F"/>
    <w:rsid w:val="008C774A"/>
    <w:rsid w:val="008C7DCD"/>
    <w:rsid w:val="008D0CE4"/>
    <w:rsid w:val="008D1B1C"/>
    <w:rsid w:val="008D43F7"/>
    <w:rsid w:val="008D466F"/>
    <w:rsid w:val="008D4B25"/>
    <w:rsid w:val="008D766E"/>
    <w:rsid w:val="008D7C8C"/>
    <w:rsid w:val="008D7E2D"/>
    <w:rsid w:val="008D7E5C"/>
    <w:rsid w:val="008E03BB"/>
    <w:rsid w:val="008E11A0"/>
    <w:rsid w:val="008E1329"/>
    <w:rsid w:val="008E2121"/>
    <w:rsid w:val="008E2F98"/>
    <w:rsid w:val="008E3011"/>
    <w:rsid w:val="008E34E9"/>
    <w:rsid w:val="008E3B0C"/>
    <w:rsid w:val="008E3F2E"/>
    <w:rsid w:val="008E4FD1"/>
    <w:rsid w:val="008E5070"/>
    <w:rsid w:val="008E590F"/>
    <w:rsid w:val="008E5A10"/>
    <w:rsid w:val="008E5C38"/>
    <w:rsid w:val="008E61AE"/>
    <w:rsid w:val="008E7926"/>
    <w:rsid w:val="008E7EE0"/>
    <w:rsid w:val="008F017D"/>
    <w:rsid w:val="008F052A"/>
    <w:rsid w:val="008F099B"/>
    <w:rsid w:val="008F163C"/>
    <w:rsid w:val="008F1897"/>
    <w:rsid w:val="008F251B"/>
    <w:rsid w:val="008F2559"/>
    <w:rsid w:val="008F2D1A"/>
    <w:rsid w:val="008F410C"/>
    <w:rsid w:val="008F50A3"/>
    <w:rsid w:val="008F55B6"/>
    <w:rsid w:val="008F5EFA"/>
    <w:rsid w:val="008F78E8"/>
    <w:rsid w:val="008F7982"/>
    <w:rsid w:val="0090099B"/>
    <w:rsid w:val="009010C9"/>
    <w:rsid w:val="009021CD"/>
    <w:rsid w:val="00902A66"/>
    <w:rsid w:val="009031FA"/>
    <w:rsid w:val="00903240"/>
    <w:rsid w:val="009049D9"/>
    <w:rsid w:val="009071C9"/>
    <w:rsid w:val="009075E8"/>
    <w:rsid w:val="009078AD"/>
    <w:rsid w:val="00907BC4"/>
    <w:rsid w:val="00907DC8"/>
    <w:rsid w:val="00910618"/>
    <w:rsid w:val="00912108"/>
    <w:rsid w:val="00912137"/>
    <w:rsid w:val="009124A2"/>
    <w:rsid w:val="00913E97"/>
    <w:rsid w:val="0091423C"/>
    <w:rsid w:val="00914B21"/>
    <w:rsid w:val="0091516F"/>
    <w:rsid w:val="009151E3"/>
    <w:rsid w:val="00915615"/>
    <w:rsid w:val="0091619F"/>
    <w:rsid w:val="00921038"/>
    <w:rsid w:val="009224A7"/>
    <w:rsid w:val="0092268E"/>
    <w:rsid w:val="0092280D"/>
    <w:rsid w:val="00923322"/>
    <w:rsid w:val="00923F44"/>
    <w:rsid w:val="00924782"/>
    <w:rsid w:val="009248FD"/>
    <w:rsid w:val="00924938"/>
    <w:rsid w:val="009254B6"/>
    <w:rsid w:val="00925658"/>
    <w:rsid w:val="00926189"/>
    <w:rsid w:val="009265CF"/>
    <w:rsid w:val="00926710"/>
    <w:rsid w:val="00927186"/>
    <w:rsid w:val="009276C9"/>
    <w:rsid w:val="00927A6E"/>
    <w:rsid w:val="00930AD0"/>
    <w:rsid w:val="00930BE6"/>
    <w:rsid w:val="0093148B"/>
    <w:rsid w:val="009316E7"/>
    <w:rsid w:val="0093186C"/>
    <w:rsid w:val="009340F4"/>
    <w:rsid w:val="00934B31"/>
    <w:rsid w:val="00934B34"/>
    <w:rsid w:val="0093503F"/>
    <w:rsid w:val="00935138"/>
    <w:rsid w:val="00935D81"/>
    <w:rsid w:val="00936180"/>
    <w:rsid w:val="00936965"/>
    <w:rsid w:val="009373ED"/>
    <w:rsid w:val="00937835"/>
    <w:rsid w:val="0094025A"/>
    <w:rsid w:val="009405D7"/>
    <w:rsid w:val="00940C3E"/>
    <w:rsid w:val="00944C3C"/>
    <w:rsid w:val="00945360"/>
    <w:rsid w:val="009458EE"/>
    <w:rsid w:val="00945947"/>
    <w:rsid w:val="00945D48"/>
    <w:rsid w:val="00946375"/>
    <w:rsid w:val="00946545"/>
    <w:rsid w:val="009467AB"/>
    <w:rsid w:val="00946EC1"/>
    <w:rsid w:val="00947390"/>
    <w:rsid w:val="00947C1E"/>
    <w:rsid w:val="00950007"/>
    <w:rsid w:val="009507B9"/>
    <w:rsid w:val="009521AA"/>
    <w:rsid w:val="00953D66"/>
    <w:rsid w:val="00957624"/>
    <w:rsid w:val="00957F83"/>
    <w:rsid w:val="00960C73"/>
    <w:rsid w:val="00962C6D"/>
    <w:rsid w:val="009638F2"/>
    <w:rsid w:val="009639E8"/>
    <w:rsid w:val="00963CC8"/>
    <w:rsid w:val="0096496C"/>
    <w:rsid w:val="00966B80"/>
    <w:rsid w:val="009673C9"/>
    <w:rsid w:val="0096758C"/>
    <w:rsid w:val="009702C5"/>
    <w:rsid w:val="00970429"/>
    <w:rsid w:val="00970B7C"/>
    <w:rsid w:val="00970D3E"/>
    <w:rsid w:val="00971D0D"/>
    <w:rsid w:val="00972A9A"/>
    <w:rsid w:val="00972B63"/>
    <w:rsid w:val="00975AF2"/>
    <w:rsid w:val="0097601B"/>
    <w:rsid w:val="00976AE9"/>
    <w:rsid w:val="00976D2A"/>
    <w:rsid w:val="00977172"/>
    <w:rsid w:val="009772E4"/>
    <w:rsid w:val="009775ED"/>
    <w:rsid w:val="00980265"/>
    <w:rsid w:val="00980614"/>
    <w:rsid w:val="00980760"/>
    <w:rsid w:val="009808F5"/>
    <w:rsid w:val="00980EA4"/>
    <w:rsid w:val="00981BFB"/>
    <w:rsid w:val="00983305"/>
    <w:rsid w:val="00984551"/>
    <w:rsid w:val="00985685"/>
    <w:rsid w:val="00985BB0"/>
    <w:rsid w:val="0098636F"/>
    <w:rsid w:val="00986F99"/>
    <w:rsid w:val="00987033"/>
    <w:rsid w:val="0098772D"/>
    <w:rsid w:val="00990581"/>
    <w:rsid w:val="009914F3"/>
    <w:rsid w:val="00991824"/>
    <w:rsid w:val="00991E62"/>
    <w:rsid w:val="0099215E"/>
    <w:rsid w:val="009927FD"/>
    <w:rsid w:val="00992D79"/>
    <w:rsid w:val="00993FBB"/>
    <w:rsid w:val="0099491B"/>
    <w:rsid w:val="00995074"/>
    <w:rsid w:val="0099583F"/>
    <w:rsid w:val="009959F3"/>
    <w:rsid w:val="00995E77"/>
    <w:rsid w:val="00996AC2"/>
    <w:rsid w:val="00996CAF"/>
    <w:rsid w:val="00997820"/>
    <w:rsid w:val="009A00B8"/>
    <w:rsid w:val="009A228D"/>
    <w:rsid w:val="009A2A4B"/>
    <w:rsid w:val="009A34C5"/>
    <w:rsid w:val="009A368C"/>
    <w:rsid w:val="009A4F85"/>
    <w:rsid w:val="009A51DF"/>
    <w:rsid w:val="009A5D74"/>
    <w:rsid w:val="009A5F17"/>
    <w:rsid w:val="009A65B5"/>
    <w:rsid w:val="009A6F4B"/>
    <w:rsid w:val="009A6F94"/>
    <w:rsid w:val="009A7B98"/>
    <w:rsid w:val="009A7D5E"/>
    <w:rsid w:val="009A7E11"/>
    <w:rsid w:val="009B051D"/>
    <w:rsid w:val="009B05B2"/>
    <w:rsid w:val="009B05F7"/>
    <w:rsid w:val="009B0C34"/>
    <w:rsid w:val="009B33EF"/>
    <w:rsid w:val="009B39D2"/>
    <w:rsid w:val="009B3DD4"/>
    <w:rsid w:val="009B3FD1"/>
    <w:rsid w:val="009B4A7E"/>
    <w:rsid w:val="009B4DC6"/>
    <w:rsid w:val="009B522F"/>
    <w:rsid w:val="009B611E"/>
    <w:rsid w:val="009B61CC"/>
    <w:rsid w:val="009B738F"/>
    <w:rsid w:val="009B754B"/>
    <w:rsid w:val="009C0C70"/>
    <w:rsid w:val="009C160D"/>
    <w:rsid w:val="009C1980"/>
    <w:rsid w:val="009C1C9E"/>
    <w:rsid w:val="009C27B3"/>
    <w:rsid w:val="009C34AC"/>
    <w:rsid w:val="009C3615"/>
    <w:rsid w:val="009C4C91"/>
    <w:rsid w:val="009C65D3"/>
    <w:rsid w:val="009C6902"/>
    <w:rsid w:val="009C75E8"/>
    <w:rsid w:val="009D07C1"/>
    <w:rsid w:val="009D10F3"/>
    <w:rsid w:val="009D197E"/>
    <w:rsid w:val="009D2746"/>
    <w:rsid w:val="009D27B3"/>
    <w:rsid w:val="009D2ACD"/>
    <w:rsid w:val="009D352D"/>
    <w:rsid w:val="009D414B"/>
    <w:rsid w:val="009D4E88"/>
    <w:rsid w:val="009D5DC3"/>
    <w:rsid w:val="009D6114"/>
    <w:rsid w:val="009E0A9E"/>
    <w:rsid w:val="009E0F1E"/>
    <w:rsid w:val="009E13AB"/>
    <w:rsid w:val="009E1A78"/>
    <w:rsid w:val="009E2046"/>
    <w:rsid w:val="009E23FD"/>
    <w:rsid w:val="009E2859"/>
    <w:rsid w:val="009E2F4F"/>
    <w:rsid w:val="009E3899"/>
    <w:rsid w:val="009E4256"/>
    <w:rsid w:val="009E4642"/>
    <w:rsid w:val="009F0D53"/>
    <w:rsid w:val="009F1357"/>
    <w:rsid w:val="009F18E3"/>
    <w:rsid w:val="009F1985"/>
    <w:rsid w:val="009F25B7"/>
    <w:rsid w:val="009F51B9"/>
    <w:rsid w:val="009F520D"/>
    <w:rsid w:val="009F52AB"/>
    <w:rsid w:val="009F5BD3"/>
    <w:rsid w:val="009F6575"/>
    <w:rsid w:val="009F76E4"/>
    <w:rsid w:val="00A00FBD"/>
    <w:rsid w:val="00A015AA"/>
    <w:rsid w:val="00A0258C"/>
    <w:rsid w:val="00A02A6B"/>
    <w:rsid w:val="00A02ED4"/>
    <w:rsid w:val="00A03158"/>
    <w:rsid w:val="00A04716"/>
    <w:rsid w:val="00A047D5"/>
    <w:rsid w:val="00A049EA"/>
    <w:rsid w:val="00A04A3E"/>
    <w:rsid w:val="00A04C24"/>
    <w:rsid w:val="00A054D5"/>
    <w:rsid w:val="00A05E01"/>
    <w:rsid w:val="00A06588"/>
    <w:rsid w:val="00A06846"/>
    <w:rsid w:val="00A06F29"/>
    <w:rsid w:val="00A0727E"/>
    <w:rsid w:val="00A07EEE"/>
    <w:rsid w:val="00A10E5F"/>
    <w:rsid w:val="00A124DB"/>
    <w:rsid w:val="00A144CD"/>
    <w:rsid w:val="00A165CE"/>
    <w:rsid w:val="00A16DDB"/>
    <w:rsid w:val="00A17352"/>
    <w:rsid w:val="00A20178"/>
    <w:rsid w:val="00A20640"/>
    <w:rsid w:val="00A2088E"/>
    <w:rsid w:val="00A208B8"/>
    <w:rsid w:val="00A22D36"/>
    <w:rsid w:val="00A2308C"/>
    <w:rsid w:val="00A246E4"/>
    <w:rsid w:val="00A24ABC"/>
    <w:rsid w:val="00A25122"/>
    <w:rsid w:val="00A253F8"/>
    <w:rsid w:val="00A255F7"/>
    <w:rsid w:val="00A26593"/>
    <w:rsid w:val="00A265BA"/>
    <w:rsid w:val="00A2699A"/>
    <w:rsid w:val="00A2716A"/>
    <w:rsid w:val="00A27505"/>
    <w:rsid w:val="00A304EF"/>
    <w:rsid w:val="00A3118A"/>
    <w:rsid w:val="00A31BA9"/>
    <w:rsid w:val="00A324DC"/>
    <w:rsid w:val="00A337AC"/>
    <w:rsid w:val="00A3456E"/>
    <w:rsid w:val="00A34921"/>
    <w:rsid w:val="00A352F5"/>
    <w:rsid w:val="00A355E5"/>
    <w:rsid w:val="00A36D8E"/>
    <w:rsid w:val="00A371D7"/>
    <w:rsid w:val="00A37537"/>
    <w:rsid w:val="00A37547"/>
    <w:rsid w:val="00A37B5C"/>
    <w:rsid w:val="00A37BB3"/>
    <w:rsid w:val="00A401F8"/>
    <w:rsid w:val="00A40F37"/>
    <w:rsid w:val="00A41940"/>
    <w:rsid w:val="00A41E33"/>
    <w:rsid w:val="00A426AB"/>
    <w:rsid w:val="00A427BF"/>
    <w:rsid w:val="00A43230"/>
    <w:rsid w:val="00A43C28"/>
    <w:rsid w:val="00A44164"/>
    <w:rsid w:val="00A44310"/>
    <w:rsid w:val="00A45AB0"/>
    <w:rsid w:val="00A45B06"/>
    <w:rsid w:val="00A45C26"/>
    <w:rsid w:val="00A45D57"/>
    <w:rsid w:val="00A47E27"/>
    <w:rsid w:val="00A5013D"/>
    <w:rsid w:val="00A50BAD"/>
    <w:rsid w:val="00A5119C"/>
    <w:rsid w:val="00A514A8"/>
    <w:rsid w:val="00A514B2"/>
    <w:rsid w:val="00A51844"/>
    <w:rsid w:val="00A51A04"/>
    <w:rsid w:val="00A51EFD"/>
    <w:rsid w:val="00A5235C"/>
    <w:rsid w:val="00A5263C"/>
    <w:rsid w:val="00A52DB4"/>
    <w:rsid w:val="00A53A49"/>
    <w:rsid w:val="00A53D90"/>
    <w:rsid w:val="00A540F4"/>
    <w:rsid w:val="00A547F7"/>
    <w:rsid w:val="00A610DE"/>
    <w:rsid w:val="00A6264E"/>
    <w:rsid w:val="00A62691"/>
    <w:rsid w:val="00A635CD"/>
    <w:rsid w:val="00A63BD5"/>
    <w:rsid w:val="00A63DEB"/>
    <w:rsid w:val="00A648DD"/>
    <w:rsid w:val="00A64C5A"/>
    <w:rsid w:val="00A64C86"/>
    <w:rsid w:val="00A66045"/>
    <w:rsid w:val="00A66CC3"/>
    <w:rsid w:val="00A66D1E"/>
    <w:rsid w:val="00A672A5"/>
    <w:rsid w:val="00A6766B"/>
    <w:rsid w:val="00A70598"/>
    <w:rsid w:val="00A7130D"/>
    <w:rsid w:val="00A71578"/>
    <w:rsid w:val="00A71704"/>
    <w:rsid w:val="00A719BC"/>
    <w:rsid w:val="00A72132"/>
    <w:rsid w:val="00A72178"/>
    <w:rsid w:val="00A722CF"/>
    <w:rsid w:val="00A7286D"/>
    <w:rsid w:val="00A7288A"/>
    <w:rsid w:val="00A72DA4"/>
    <w:rsid w:val="00A72E66"/>
    <w:rsid w:val="00A73812"/>
    <w:rsid w:val="00A74167"/>
    <w:rsid w:val="00A741FA"/>
    <w:rsid w:val="00A75083"/>
    <w:rsid w:val="00A759B6"/>
    <w:rsid w:val="00A76D4F"/>
    <w:rsid w:val="00A77966"/>
    <w:rsid w:val="00A77DDB"/>
    <w:rsid w:val="00A8146A"/>
    <w:rsid w:val="00A8166E"/>
    <w:rsid w:val="00A81934"/>
    <w:rsid w:val="00A821E2"/>
    <w:rsid w:val="00A82572"/>
    <w:rsid w:val="00A82BDA"/>
    <w:rsid w:val="00A82C16"/>
    <w:rsid w:val="00A82D81"/>
    <w:rsid w:val="00A82FE6"/>
    <w:rsid w:val="00A84183"/>
    <w:rsid w:val="00A84B58"/>
    <w:rsid w:val="00A84E84"/>
    <w:rsid w:val="00A8525F"/>
    <w:rsid w:val="00A866D0"/>
    <w:rsid w:val="00A86AD8"/>
    <w:rsid w:val="00A86B0C"/>
    <w:rsid w:val="00A9192D"/>
    <w:rsid w:val="00A91A9A"/>
    <w:rsid w:val="00A92C33"/>
    <w:rsid w:val="00A93DC6"/>
    <w:rsid w:val="00A943D1"/>
    <w:rsid w:val="00A9464C"/>
    <w:rsid w:val="00A94A8F"/>
    <w:rsid w:val="00A94B72"/>
    <w:rsid w:val="00A94C67"/>
    <w:rsid w:val="00A95AEA"/>
    <w:rsid w:val="00A95ED6"/>
    <w:rsid w:val="00A96469"/>
    <w:rsid w:val="00A96F7E"/>
    <w:rsid w:val="00AA01DC"/>
    <w:rsid w:val="00AA0BB1"/>
    <w:rsid w:val="00AA0EC7"/>
    <w:rsid w:val="00AA0F35"/>
    <w:rsid w:val="00AA19FC"/>
    <w:rsid w:val="00AA212A"/>
    <w:rsid w:val="00AA27B5"/>
    <w:rsid w:val="00AA2885"/>
    <w:rsid w:val="00AA2D2C"/>
    <w:rsid w:val="00AA3395"/>
    <w:rsid w:val="00AA3F41"/>
    <w:rsid w:val="00AA4790"/>
    <w:rsid w:val="00AA5214"/>
    <w:rsid w:val="00AA52A0"/>
    <w:rsid w:val="00AA62BE"/>
    <w:rsid w:val="00AA644D"/>
    <w:rsid w:val="00AB014D"/>
    <w:rsid w:val="00AB030E"/>
    <w:rsid w:val="00AB06FA"/>
    <w:rsid w:val="00AB14BD"/>
    <w:rsid w:val="00AB20CA"/>
    <w:rsid w:val="00AB2484"/>
    <w:rsid w:val="00AB40C4"/>
    <w:rsid w:val="00AB4B77"/>
    <w:rsid w:val="00AB4D06"/>
    <w:rsid w:val="00AB5904"/>
    <w:rsid w:val="00AB7618"/>
    <w:rsid w:val="00AC026B"/>
    <w:rsid w:val="00AC0960"/>
    <w:rsid w:val="00AC2C1C"/>
    <w:rsid w:val="00AC42A5"/>
    <w:rsid w:val="00AC471F"/>
    <w:rsid w:val="00AC55C3"/>
    <w:rsid w:val="00AC5618"/>
    <w:rsid w:val="00AC5A2B"/>
    <w:rsid w:val="00AC5EC2"/>
    <w:rsid w:val="00AC5F78"/>
    <w:rsid w:val="00AC6634"/>
    <w:rsid w:val="00AC6DE1"/>
    <w:rsid w:val="00AC73EB"/>
    <w:rsid w:val="00AD02EE"/>
    <w:rsid w:val="00AD02F9"/>
    <w:rsid w:val="00AD0A9B"/>
    <w:rsid w:val="00AD0B09"/>
    <w:rsid w:val="00AD0C42"/>
    <w:rsid w:val="00AD2545"/>
    <w:rsid w:val="00AD2BA5"/>
    <w:rsid w:val="00AD379E"/>
    <w:rsid w:val="00AD396A"/>
    <w:rsid w:val="00AD4CAF"/>
    <w:rsid w:val="00AD4E11"/>
    <w:rsid w:val="00AD5089"/>
    <w:rsid w:val="00AD516F"/>
    <w:rsid w:val="00AD54F6"/>
    <w:rsid w:val="00AD5F2A"/>
    <w:rsid w:val="00AD611F"/>
    <w:rsid w:val="00AD6359"/>
    <w:rsid w:val="00AD6658"/>
    <w:rsid w:val="00AD7257"/>
    <w:rsid w:val="00AD7E4B"/>
    <w:rsid w:val="00AE0541"/>
    <w:rsid w:val="00AE070C"/>
    <w:rsid w:val="00AE116B"/>
    <w:rsid w:val="00AE1922"/>
    <w:rsid w:val="00AE1CB6"/>
    <w:rsid w:val="00AE1F74"/>
    <w:rsid w:val="00AE2F2C"/>
    <w:rsid w:val="00AE30A2"/>
    <w:rsid w:val="00AE3321"/>
    <w:rsid w:val="00AE3341"/>
    <w:rsid w:val="00AE3818"/>
    <w:rsid w:val="00AE43E7"/>
    <w:rsid w:val="00AE4B28"/>
    <w:rsid w:val="00AE6306"/>
    <w:rsid w:val="00AF0C0D"/>
    <w:rsid w:val="00AF121E"/>
    <w:rsid w:val="00AF1793"/>
    <w:rsid w:val="00AF19D0"/>
    <w:rsid w:val="00AF2512"/>
    <w:rsid w:val="00AF26DB"/>
    <w:rsid w:val="00AF2D00"/>
    <w:rsid w:val="00AF2F1A"/>
    <w:rsid w:val="00AF338F"/>
    <w:rsid w:val="00AF348C"/>
    <w:rsid w:val="00AF513E"/>
    <w:rsid w:val="00AF581C"/>
    <w:rsid w:val="00AF66C8"/>
    <w:rsid w:val="00AF6BAE"/>
    <w:rsid w:val="00AF6CAE"/>
    <w:rsid w:val="00AF7C3C"/>
    <w:rsid w:val="00AF7D8C"/>
    <w:rsid w:val="00AF7EE0"/>
    <w:rsid w:val="00B001DF"/>
    <w:rsid w:val="00B0064E"/>
    <w:rsid w:val="00B006DA"/>
    <w:rsid w:val="00B01646"/>
    <w:rsid w:val="00B016C0"/>
    <w:rsid w:val="00B037B5"/>
    <w:rsid w:val="00B046C2"/>
    <w:rsid w:val="00B059DD"/>
    <w:rsid w:val="00B05F32"/>
    <w:rsid w:val="00B0671A"/>
    <w:rsid w:val="00B06B91"/>
    <w:rsid w:val="00B07B92"/>
    <w:rsid w:val="00B10430"/>
    <w:rsid w:val="00B11163"/>
    <w:rsid w:val="00B11277"/>
    <w:rsid w:val="00B1190B"/>
    <w:rsid w:val="00B11F30"/>
    <w:rsid w:val="00B124A9"/>
    <w:rsid w:val="00B1368D"/>
    <w:rsid w:val="00B1382F"/>
    <w:rsid w:val="00B1435F"/>
    <w:rsid w:val="00B146EE"/>
    <w:rsid w:val="00B15CA8"/>
    <w:rsid w:val="00B16407"/>
    <w:rsid w:val="00B165C6"/>
    <w:rsid w:val="00B174DB"/>
    <w:rsid w:val="00B17D9C"/>
    <w:rsid w:val="00B17FCA"/>
    <w:rsid w:val="00B206FF"/>
    <w:rsid w:val="00B20846"/>
    <w:rsid w:val="00B2109A"/>
    <w:rsid w:val="00B226D8"/>
    <w:rsid w:val="00B24069"/>
    <w:rsid w:val="00B248B8"/>
    <w:rsid w:val="00B24C92"/>
    <w:rsid w:val="00B251CC"/>
    <w:rsid w:val="00B30128"/>
    <w:rsid w:val="00B31C4F"/>
    <w:rsid w:val="00B32C5C"/>
    <w:rsid w:val="00B3355F"/>
    <w:rsid w:val="00B34A1F"/>
    <w:rsid w:val="00B3552F"/>
    <w:rsid w:val="00B35BE1"/>
    <w:rsid w:val="00B35D80"/>
    <w:rsid w:val="00B35DF7"/>
    <w:rsid w:val="00B3606E"/>
    <w:rsid w:val="00B3726D"/>
    <w:rsid w:val="00B3748D"/>
    <w:rsid w:val="00B4077F"/>
    <w:rsid w:val="00B41D3E"/>
    <w:rsid w:val="00B41DA3"/>
    <w:rsid w:val="00B41E2A"/>
    <w:rsid w:val="00B43DDB"/>
    <w:rsid w:val="00B4481C"/>
    <w:rsid w:val="00B44F0F"/>
    <w:rsid w:val="00B4559D"/>
    <w:rsid w:val="00B46F31"/>
    <w:rsid w:val="00B47159"/>
    <w:rsid w:val="00B478A8"/>
    <w:rsid w:val="00B52D09"/>
    <w:rsid w:val="00B53D2F"/>
    <w:rsid w:val="00B55050"/>
    <w:rsid w:val="00B56179"/>
    <w:rsid w:val="00B561E0"/>
    <w:rsid w:val="00B56297"/>
    <w:rsid w:val="00B57D41"/>
    <w:rsid w:val="00B57F89"/>
    <w:rsid w:val="00B606E6"/>
    <w:rsid w:val="00B60719"/>
    <w:rsid w:val="00B609DB"/>
    <w:rsid w:val="00B61026"/>
    <w:rsid w:val="00B61619"/>
    <w:rsid w:val="00B61C11"/>
    <w:rsid w:val="00B62344"/>
    <w:rsid w:val="00B62366"/>
    <w:rsid w:val="00B64074"/>
    <w:rsid w:val="00B64084"/>
    <w:rsid w:val="00B643DF"/>
    <w:rsid w:val="00B64F15"/>
    <w:rsid w:val="00B65BA6"/>
    <w:rsid w:val="00B65F81"/>
    <w:rsid w:val="00B66135"/>
    <w:rsid w:val="00B669E7"/>
    <w:rsid w:val="00B711A6"/>
    <w:rsid w:val="00B71C8D"/>
    <w:rsid w:val="00B71F28"/>
    <w:rsid w:val="00B72381"/>
    <w:rsid w:val="00B736B8"/>
    <w:rsid w:val="00B74029"/>
    <w:rsid w:val="00B74D50"/>
    <w:rsid w:val="00B74DA1"/>
    <w:rsid w:val="00B75537"/>
    <w:rsid w:val="00B759E7"/>
    <w:rsid w:val="00B76221"/>
    <w:rsid w:val="00B76425"/>
    <w:rsid w:val="00B767B4"/>
    <w:rsid w:val="00B7719A"/>
    <w:rsid w:val="00B77922"/>
    <w:rsid w:val="00B77E2C"/>
    <w:rsid w:val="00B800DB"/>
    <w:rsid w:val="00B8061D"/>
    <w:rsid w:val="00B8103F"/>
    <w:rsid w:val="00B82804"/>
    <w:rsid w:val="00B8338C"/>
    <w:rsid w:val="00B84D0A"/>
    <w:rsid w:val="00B8506D"/>
    <w:rsid w:val="00B85866"/>
    <w:rsid w:val="00B85CB8"/>
    <w:rsid w:val="00B869CF"/>
    <w:rsid w:val="00B86A7A"/>
    <w:rsid w:val="00B909D7"/>
    <w:rsid w:val="00B90B92"/>
    <w:rsid w:val="00B9111F"/>
    <w:rsid w:val="00B94088"/>
    <w:rsid w:val="00B9450E"/>
    <w:rsid w:val="00B95447"/>
    <w:rsid w:val="00B9544B"/>
    <w:rsid w:val="00B955EF"/>
    <w:rsid w:val="00B959AB"/>
    <w:rsid w:val="00B96326"/>
    <w:rsid w:val="00B9650B"/>
    <w:rsid w:val="00B96FB5"/>
    <w:rsid w:val="00BA0219"/>
    <w:rsid w:val="00BA029A"/>
    <w:rsid w:val="00BA1226"/>
    <w:rsid w:val="00BA1EAC"/>
    <w:rsid w:val="00BA24F1"/>
    <w:rsid w:val="00BA2CFF"/>
    <w:rsid w:val="00BA40AE"/>
    <w:rsid w:val="00BA448D"/>
    <w:rsid w:val="00BA48C1"/>
    <w:rsid w:val="00BA6715"/>
    <w:rsid w:val="00BA6E66"/>
    <w:rsid w:val="00BA7202"/>
    <w:rsid w:val="00BA7977"/>
    <w:rsid w:val="00BB23B7"/>
    <w:rsid w:val="00BB26EF"/>
    <w:rsid w:val="00BB307F"/>
    <w:rsid w:val="00BB5011"/>
    <w:rsid w:val="00BB5F96"/>
    <w:rsid w:val="00BB631E"/>
    <w:rsid w:val="00BB6A16"/>
    <w:rsid w:val="00BB735A"/>
    <w:rsid w:val="00BC0101"/>
    <w:rsid w:val="00BC3467"/>
    <w:rsid w:val="00BC347C"/>
    <w:rsid w:val="00BC41D4"/>
    <w:rsid w:val="00BC457B"/>
    <w:rsid w:val="00BC4EE5"/>
    <w:rsid w:val="00BC5B7F"/>
    <w:rsid w:val="00BC6BF9"/>
    <w:rsid w:val="00BC7318"/>
    <w:rsid w:val="00BC77D1"/>
    <w:rsid w:val="00BD04D9"/>
    <w:rsid w:val="00BD0CC2"/>
    <w:rsid w:val="00BD0D77"/>
    <w:rsid w:val="00BD2628"/>
    <w:rsid w:val="00BD2915"/>
    <w:rsid w:val="00BD301A"/>
    <w:rsid w:val="00BD320E"/>
    <w:rsid w:val="00BD331E"/>
    <w:rsid w:val="00BD3DBA"/>
    <w:rsid w:val="00BD447F"/>
    <w:rsid w:val="00BD4663"/>
    <w:rsid w:val="00BD492D"/>
    <w:rsid w:val="00BD4B7C"/>
    <w:rsid w:val="00BD54EE"/>
    <w:rsid w:val="00BD5913"/>
    <w:rsid w:val="00BD5ED4"/>
    <w:rsid w:val="00BD7140"/>
    <w:rsid w:val="00BD776D"/>
    <w:rsid w:val="00BE01E5"/>
    <w:rsid w:val="00BE0A51"/>
    <w:rsid w:val="00BE0BC7"/>
    <w:rsid w:val="00BE2BED"/>
    <w:rsid w:val="00BE2E96"/>
    <w:rsid w:val="00BE3840"/>
    <w:rsid w:val="00BE48B9"/>
    <w:rsid w:val="00BE4BB8"/>
    <w:rsid w:val="00BE54E2"/>
    <w:rsid w:val="00BE613C"/>
    <w:rsid w:val="00BE65F2"/>
    <w:rsid w:val="00BE6B53"/>
    <w:rsid w:val="00BE6E97"/>
    <w:rsid w:val="00BE7106"/>
    <w:rsid w:val="00BE7221"/>
    <w:rsid w:val="00BE7BB4"/>
    <w:rsid w:val="00BF0632"/>
    <w:rsid w:val="00BF11D1"/>
    <w:rsid w:val="00BF1BFF"/>
    <w:rsid w:val="00BF1F79"/>
    <w:rsid w:val="00BF25EC"/>
    <w:rsid w:val="00BF2746"/>
    <w:rsid w:val="00BF5837"/>
    <w:rsid w:val="00BF5A55"/>
    <w:rsid w:val="00BF5D52"/>
    <w:rsid w:val="00BF689D"/>
    <w:rsid w:val="00C005C1"/>
    <w:rsid w:val="00C00785"/>
    <w:rsid w:val="00C01ADC"/>
    <w:rsid w:val="00C026C3"/>
    <w:rsid w:val="00C033FF"/>
    <w:rsid w:val="00C03507"/>
    <w:rsid w:val="00C03BD7"/>
    <w:rsid w:val="00C047E3"/>
    <w:rsid w:val="00C048DF"/>
    <w:rsid w:val="00C048F5"/>
    <w:rsid w:val="00C05D92"/>
    <w:rsid w:val="00C06BD6"/>
    <w:rsid w:val="00C0766E"/>
    <w:rsid w:val="00C1012D"/>
    <w:rsid w:val="00C10E31"/>
    <w:rsid w:val="00C1145A"/>
    <w:rsid w:val="00C114F8"/>
    <w:rsid w:val="00C1193B"/>
    <w:rsid w:val="00C11F6A"/>
    <w:rsid w:val="00C12889"/>
    <w:rsid w:val="00C12D28"/>
    <w:rsid w:val="00C137C6"/>
    <w:rsid w:val="00C1461D"/>
    <w:rsid w:val="00C14E47"/>
    <w:rsid w:val="00C16DD0"/>
    <w:rsid w:val="00C178C0"/>
    <w:rsid w:val="00C17EAB"/>
    <w:rsid w:val="00C17F69"/>
    <w:rsid w:val="00C20319"/>
    <w:rsid w:val="00C204C3"/>
    <w:rsid w:val="00C22378"/>
    <w:rsid w:val="00C22636"/>
    <w:rsid w:val="00C2289E"/>
    <w:rsid w:val="00C23256"/>
    <w:rsid w:val="00C2335E"/>
    <w:rsid w:val="00C23886"/>
    <w:rsid w:val="00C25584"/>
    <w:rsid w:val="00C262C4"/>
    <w:rsid w:val="00C26E81"/>
    <w:rsid w:val="00C2738B"/>
    <w:rsid w:val="00C2790B"/>
    <w:rsid w:val="00C305D3"/>
    <w:rsid w:val="00C308D3"/>
    <w:rsid w:val="00C308E5"/>
    <w:rsid w:val="00C30B51"/>
    <w:rsid w:val="00C31267"/>
    <w:rsid w:val="00C32BC5"/>
    <w:rsid w:val="00C32E6C"/>
    <w:rsid w:val="00C33BF3"/>
    <w:rsid w:val="00C34507"/>
    <w:rsid w:val="00C345C0"/>
    <w:rsid w:val="00C35095"/>
    <w:rsid w:val="00C35C6E"/>
    <w:rsid w:val="00C35C78"/>
    <w:rsid w:val="00C35E7F"/>
    <w:rsid w:val="00C3664F"/>
    <w:rsid w:val="00C40AFB"/>
    <w:rsid w:val="00C41A05"/>
    <w:rsid w:val="00C41BEE"/>
    <w:rsid w:val="00C42A0E"/>
    <w:rsid w:val="00C43F0F"/>
    <w:rsid w:val="00C4474F"/>
    <w:rsid w:val="00C4507C"/>
    <w:rsid w:val="00C45281"/>
    <w:rsid w:val="00C45578"/>
    <w:rsid w:val="00C457BA"/>
    <w:rsid w:val="00C45D44"/>
    <w:rsid w:val="00C46F6E"/>
    <w:rsid w:val="00C504C4"/>
    <w:rsid w:val="00C51344"/>
    <w:rsid w:val="00C5149C"/>
    <w:rsid w:val="00C52055"/>
    <w:rsid w:val="00C521B6"/>
    <w:rsid w:val="00C52F5E"/>
    <w:rsid w:val="00C53D50"/>
    <w:rsid w:val="00C54FAF"/>
    <w:rsid w:val="00C558B9"/>
    <w:rsid w:val="00C561B5"/>
    <w:rsid w:val="00C57239"/>
    <w:rsid w:val="00C57960"/>
    <w:rsid w:val="00C60B4E"/>
    <w:rsid w:val="00C61E1F"/>
    <w:rsid w:val="00C62E57"/>
    <w:rsid w:val="00C63A12"/>
    <w:rsid w:val="00C63B01"/>
    <w:rsid w:val="00C63B8C"/>
    <w:rsid w:val="00C64A6C"/>
    <w:rsid w:val="00C6689E"/>
    <w:rsid w:val="00C66BDE"/>
    <w:rsid w:val="00C67535"/>
    <w:rsid w:val="00C716FC"/>
    <w:rsid w:val="00C72A81"/>
    <w:rsid w:val="00C72E25"/>
    <w:rsid w:val="00C73AD1"/>
    <w:rsid w:val="00C73E2F"/>
    <w:rsid w:val="00C74BF4"/>
    <w:rsid w:val="00C7547B"/>
    <w:rsid w:val="00C758F9"/>
    <w:rsid w:val="00C75EFE"/>
    <w:rsid w:val="00C77792"/>
    <w:rsid w:val="00C77EF4"/>
    <w:rsid w:val="00C800D1"/>
    <w:rsid w:val="00C806C7"/>
    <w:rsid w:val="00C80DF4"/>
    <w:rsid w:val="00C8129B"/>
    <w:rsid w:val="00C826D3"/>
    <w:rsid w:val="00C82B1C"/>
    <w:rsid w:val="00C837AE"/>
    <w:rsid w:val="00C8384C"/>
    <w:rsid w:val="00C83A81"/>
    <w:rsid w:val="00C848B6"/>
    <w:rsid w:val="00C84EBE"/>
    <w:rsid w:val="00C85AF6"/>
    <w:rsid w:val="00C92373"/>
    <w:rsid w:val="00C933D7"/>
    <w:rsid w:val="00C93402"/>
    <w:rsid w:val="00C9352A"/>
    <w:rsid w:val="00C94A7D"/>
    <w:rsid w:val="00C95AC9"/>
    <w:rsid w:val="00C95EFE"/>
    <w:rsid w:val="00C960FC"/>
    <w:rsid w:val="00C96619"/>
    <w:rsid w:val="00C9743B"/>
    <w:rsid w:val="00C976E5"/>
    <w:rsid w:val="00CA0E77"/>
    <w:rsid w:val="00CA181F"/>
    <w:rsid w:val="00CA238E"/>
    <w:rsid w:val="00CA38A4"/>
    <w:rsid w:val="00CA3F78"/>
    <w:rsid w:val="00CA4415"/>
    <w:rsid w:val="00CA4F14"/>
    <w:rsid w:val="00CA59BE"/>
    <w:rsid w:val="00CA6347"/>
    <w:rsid w:val="00CA6FAB"/>
    <w:rsid w:val="00CB0E44"/>
    <w:rsid w:val="00CB0FE8"/>
    <w:rsid w:val="00CB183B"/>
    <w:rsid w:val="00CB1F27"/>
    <w:rsid w:val="00CB249B"/>
    <w:rsid w:val="00CB2C18"/>
    <w:rsid w:val="00CB2C4F"/>
    <w:rsid w:val="00CB2DF8"/>
    <w:rsid w:val="00CB30EB"/>
    <w:rsid w:val="00CB360F"/>
    <w:rsid w:val="00CB3D97"/>
    <w:rsid w:val="00CB55EE"/>
    <w:rsid w:val="00CB57A1"/>
    <w:rsid w:val="00CB5F8C"/>
    <w:rsid w:val="00CB62A0"/>
    <w:rsid w:val="00CB63BE"/>
    <w:rsid w:val="00CB6464"/>
    <w:rsid w:val="00CB6A8A"/>
    <w:rsid w:val="00CB6DF3"/>
    <w:rsid w:val="00CB71E8"/>
    <w:rsid w:val="00CC00E5"/>
    <w:rsid w:val="00CC05BC"/>
    <w:rsid w:val="00CC06A1"/>
    <w:rsid w:val="00CC0EFB"/>
    <w:rsid w:val="00CC152E"/>
    <w:rsid w:val="00CC1873"/>
    <w:rsid w:val="00CC256B"/>
    <w:rsid w:val="00CC29C7"/>
    <w:rsid w:val="00CC3291"/>
    <w:rsid w:val="00CC33EB"/>
    <w:rsid w:val="00CC4D7A"/>
    <w:rsid w:val="00CC5034"/>
    <w:rsid w:val="00CC5A15"/>
    <w:rsid w:val="00CC5EDE"/>
    <w:rsid w:val="00CC61D5"/>
    <w:rsid w:val="00CC6A50"/>
    <w:rsid w:val="00CD02B4"/>
    <w:rsid w:val="00CD0BDA"/>
    <w:rsid w:val="00CD0D02"/>
    <w:rsid w:val="00CD1122"/>
    <w:rsid w:val="00CD1378"/>
    <w:rsid w:val="00CD1C53"/>
    <w:rsid w:val="00CD3461"/>
    <w:rsid w:val="00CD3B66"/>
    <w:rsid w:val="00CD4455"/>
    <w:rsid w:val="00CD4ADC"/>
    <w:rsid w:val="00CD5E4D"/>
    <w:rsid w:val="00CD61CD"/>
    <w:rsid w:val="00CD742D"/>
    <w:rsid w:val="00CE0B5D"/>
    <w:rsid w:val="00CE0BF7"/>
    <w:rsid w:val="00CE3465"/>
    <w:rsid w:val="00CE3AA9"/>
    <w:rsid w:val="00CE3BB9"/>
    <w:rsid w:val="00CE40CA"/>
    <w:rsid w:val="00CE4EE7"/>
    <w:rsid w:val="00CE5A7E"/>
    <w:rsid w:val="00CE6C26"/>
    <w:rsid w:val="00CE71D1"/>
    <w:rsid w:val="00CE72B8"/>
    <w:rsid w:val="00CE79BC"/>
    <w:rsid w:val="00CE7A75"/>
    <w:rsid w:val="00CE7B56"/>
    <w:rsid w:val="00CE7D2A"/>
    <w:rsid w:val="00CE7EE8"/>
    <w:rsid w:val="00CF09F0"/>
    <w:rsid w:val="00CF0C92"/>
    <w:rsid w:val="00CF2B46"/>
    <w:rsid w:val="00CF3A58"/>
    <w:rsid w:val="00CF3DEE"/>
    <w:rsid w:val="00CF4338"/>
    <w:rsid w:val="00CF4D79"/>
    <w:rsid w:val="00CF566F"/>
    <w:rsid w:val="00CF57FF"/>
    <w:rsid w:val="00CF60D8"/>
    <w:rsid w:val="00CF688D"/>
    <w:rsid w:val="00CF6FE5"/>
    <w:rsid w:val="00CF6FF2"/>
    <w:rsid w:val="00CF73F3"/>
    <w:rsid w:val="00CF77B1"/>
    <w:rsid w:val="00CF7F68"/>
    <w:rsid w:val="00CF7FC1"/>
    <w:rsid w:val="00D00032"/>
    <w:rsid w:val="00D00441"/>
    <w:rsid w:val="00D00DBF"/>
    <w:rsid w:val="00D019DC"/>
    <w:rsid w:val="00D022DB"/>
    <w:rsid w:val="00D03257"/>
    <w:rsid w:val="00D0341E"/>
    <w:rsid w:val="00D03A34"/>
    <w:rsid w:val="00D05ADB"/>
    <w:rsid w:val="00D06629"/>
    <w:rsid w:val="00D06AB4"/>
    <w:rsid w:val="00D06B99"/>
    <w:rsid w:val="00D06D50"/>
    <w:rsid w:val="00D06E06"/>
    <w:rsid w:val="00D07D86"/>
    <w:rsid w:val="00D101E1"/>
    <w:rsid w:val="00D10228"/>
    <w:rsid w:val="00D10401"/>
    <w:rsid w:val="00D10B01"/>
    <w:rsid w:val="00D10E71"/>
    <w:rsid w:val="00D118DC"/>
    <w:rsid w:val="00D11E92"/>
    <w:rsid w:val="00D138AA"/>
    <w:rsid w:val="00D14E17"/>
    <w:rsid w:val="00D16B25"/>
    <w:rsid w:val="00D16BC4"/>
    <w:rsid w:val="00D16FB3"/>
    <w:rsid w:val="00D17655"/>
    <w:rsid w:val="00D17773"/>
    <w:rsid w:val="00D17F3C"/>
    <w:rsid w:val="00D2076A"/>
    <w:rsid w:val="00D20E13"/>
    <w:rsid w:val="00D212D9"/>
    <w:rsid w:val="00D217C6"/>
    <w:rsid w:val="00D22E6D"/>
    <w:rsid w:val="00D22F02"/>
    <w:rsid w:val="00D2347D"/>
    <w:rsid w:val="00D23FF3"/>
    <w:rsid w:val="00D2522C"/>
    <w:rsid w:val="00D25BB9"/>
    <w:rsid w:val="00D26B85"/>
    <w:rsid w:val="00D26BC0"/>
    <w:rsid w:val="00D27298"/>
    <w:rsid w:val="00D2772A"/>
    <w:rsid w:val="00D30F9E"/>
    <w:rsid w:val="00D31119"/>
    <w:rsid w:val="00D31522"/>
    <w:rsid w:val="00D31703"/>
    <w:rsid w:val="00D3206F"/>
    <w:rsid w:val="00D3219C"/>
    <w:rsid w:val="00D32897"/>
    <w:rsid w:val="00D32ACD"/>
    <w:rsid w:val="00D339E2"/>
    <w:rsid w:val="00D33C0E"/>
    <w:rsid w:val="00D349F8"/>
    <w:rsid w:val="00D34F02"/>
    <w:rsid w:val="00D35D21"/>
    <w:rsid w:val="00D35E7E"/>
    <w:rsid w:val="00D36971"/>
    <w:rsid w:val="00D36B3F"/>
    <w:rsid w:val="00D36D32"/>
    <w:rsid w:val="00D36FD9"/>
    <w:rsid w:val="00D37C33"/>
    <w:rsid w:val="00D37C5D"/>
    <w:rsid w:val="00D408DD"/>
    <w:rsid w:val="00D43375"/>
    <w:rsid w:val="00D44CD2"/>
    <w:rsid w:val="00D45000"/>
    <w:rsid w:val="00D45849"/>
    <w:rsid w:val="00D45DC1"/>
    <w:rsid w:val="00D46080"/>
    <w:rsid w:val="00D46392"/>
    <w:rsid w:val="00D46B42"/>
    <w:rsid w:val="00D46F96"/>
    <w:rsid w:val="00D47267"/>
    <w:rsid w:val="00D47997"/>
    <w:rsid w:val="00D50B6A"/>
    <w:rsid w:val="00D510F7"/>
    <w:rsid w:val="00D51AB9"/>
    <w:rsid w:val="00D51E7D"/>
    <w:rsid w:val="00D52561"/>
    <w:rsid w:val="00D5345B"/>
    <w:rsid w:val="00D543C0"/>
    <w:rsid w:val="00D57366"/>
    <w:rsid w:val="00D5779A"/>
    <w:rsid w:val="00D57A9F"/>
    <w:rsid w:val="00D57E13"/>
    <w:rsid w:val="00D601B4"/>
    <w:rsid w:val="00D6028D"/>
    <w:rsid w:val="00D613AB"/>
    <w:rsid w:val="00D616C7"/>
    <w:rsid w:val="00D62BEB"/>
    <w:rsid w:val="00D64D94"/>
    <w:rsid w:val="00D65A88"/>
    <w:rsid w:val="00D65AC2"/>
    <w:rsid w:val="00D66E3C"/>
    <w:rsid w:val="00D67CF1"/>
    <w:rsid w:val="00D70219"/>
    <w:rsid w:val="00D70945"/>
    <w:rsid w:val="00D7333C"/>
    <w:rsid w:val="00D74129"/>
    <w:rsid w:val="00D74A19"/>
    <w:rsid w:val="00D74D8B"/>
    <w:rsid w:val="00D764F3"/>
    <w:rsid w:val="00D7683B"/>
    <w:rsid w:val="00D771DE"/>
    <w:rsid w:val="00D77A56"/>
    <w:rsid w:val="00D77E51"/>
    <w:rsid w:val="00D80211"/>
    <w:rsid w:val="00D80FF5"/>
    <w:rsid w:val="00D81031"/>
    <w:rsid w:val="00D81590"/>
    <w:rsid w:val="00D81835"/>
    <w:rsid w:val="00D82251"/>
    <w:rsid w:val="00D8277D"/>
    <w:rsid w:val="00D82A2D"/>
    <w:rsid w:val="00D834F7"/>
    <w:rsid w:val="00D841E6"/>
    <w:rsid w:val="00D84EE8"/>
    <w:rsid w:val="00D8501F"/>
    <w:rsid w:val="00D86A83"/>
    <w:rsid w:val="00D87F31"/>
    <w:rsid w:val="00D90FEA"/>
    <w:rsid w:val="00D9140E"/>
    <w:rsid w:val="00D91E33"/>
    <w:rsid w:val="00D91F34"/>
    <w:rsid w:val="00D92C1E"/>
    <w:rsid w:val="00D930B6"/>
    <w:rsid w:val="00D938DB"/>
    <w:rsid w:val="00D9596D"/>
    <w:rsid w:val="00D96281"/>
    <w:rsid w:val="00D97D66"/>
    <w:rsid w:val="00DA08F9"/>
    <w:rsid w:val="00DA0A79"/>
    <w:rsid w:val="00DA271F"/>
    <w:rsid w:val="00DA2D1A"/>
    <w:rsid w:val="00DA2EED"/>
    <w:rsid w:val="00DA3167"/>
    <w:rsid w:val="00DA3A6F"/>
    <w:rsid w:val="00DA4CA9"/>
    <w:rsid w:val="00DA4FA1"/>
    <w:rsid w:val="00DA53B7"/>
    <w:rsid w:val="00DA5A65"/>
    <w:rsid w:val="00DA5FFC"/>
    <w:rsid w:val="00DA6D08"/>
    <w:rsid w:val="00DA7199"/>
    <w:rsid w:val="00DA7306"/>
    <w:rsid w:val="00DA7764"/>
    <w:rsid w:val="00DB0501"/>
    <w:rsid w:val="00DB0D49"/>
    <w:rsid w:val="00DB1A93"/>
    <w:rsid w:val="00DB1BAE"/>
    <w:rsid w:val="00DB1E5C"/>
    <w:rsid w:val="00DB1F96"/>
    <w:rsid w:val="00DB2451"/>
    <w:rsid w:val="00DB2D10"/>
    <w:rsid w:val="00DB2D89"/>
    <w:rsid w:val="00DB40A9"/>
    <w:rsid w:val="00DB50C9"/>
    <w:rsid w:val="00DB5B08"/>
    <w:rsid w:val="00DB5E45"/>
    <w:rsid w:val="00DB7F12"/>
    <w:rsid w:val="00DC2869"/>
    <w:rsid w:val="00DC3A41"/>
    <w:rsid w:val="00DC3B59"/>
    <w:rsid w:val="00DC4302"/>
    <w:rsid w:val="00DC5D09"/>
    <w:rsid w:val="00DC6651"/>
    <w:rsid w:val="00DC6ABA"/>
    <w:rsid w:val="00DD012F"/>
    <w:rsid w:val="00DD0C03"/>
    <w:rsid w:val="00DD1D65"/>
    <w:rsid w:val="00DD231D"/>
    <w:rsid w:val="00DD23EF"/>
    <w:rsid w:val="00DD3349"/>
    <w:rsid w:val="00DD3901"/>
    <w:rsid w:val="00DD3A17"/>
    <w:rsid w:val="00DD3EA6"/>
    <w:rsid w:val="00DD42B7"/>
    <w:rsid w:val="00DD44AC"/>
    <w:rsid w:val="00DD48AD"/>
    <w:rsid w:val="00DD500B"/>
    <w:rsid w:val="00DD5658"/>
    <w:rsid w:val="00DD6863"/>
    <w:rsid w:val="00DD75A9"/>
    <w:rsid w:val="00DE1E04"/>
    <w:rsid w:val="00DE30A2"/>
    <w:rsid w:val="00DE3206"/>
    <w:rsid w:val="00DE3442"/>
    <w:rsid w:val="00DE38C9"/>
    <w:rsid w:val="00DE40D4"/>
    <w:rsid w:val="00DE4AE4"/>
    <w:rsid w:val="00DE542C"/>
    <w:rsid w:val="00DE5922"/>
    <w:rsid w:val="00DE5D25"/>
    <w:rsid w:val="00DE6327"/>
    <w:rsid w:val="00DE67C8"/>
    <w:rsid w:val="00DE6A8F"/>
    <w:rsid w:val="00DE7DCC"/>
    <w:rsid w:val="00DF07AC"/>
    <w:rsid w:val="00DF08A1"/>
    <w:rsid w:val="00DF1006"/>
    <w:rsid w:val="00DF10A2"/>
    <w:rsid w:val="00DF1555"/>
    <w:rsid w:val="00DF1B9E"/>
    <w:rsid w:val="00DF1DD8"/>
    <w:rsid w:val="00DF2B94"/>
    <w:rsid w:val="00DF3151"/>
    <w:rsid w:val="00DF406C"/>
    <w:rsid w:val="00DF41B3"/>
    <w:rsid w:val="00DF42AF"/>
    <w:rsid w:val="00DF50A4"/>
    <w:rsid w:val="00DF59AD"/>
    <w:rsid w:val="00DF6BDA"/>
    <w:rsid w:val="00DF6DF9"/>
    <w:rsid w:val="00DF7130"/>
    <w:rsid w:val="00DF7895"/>
    <w:rsid w:val="00E00061"/>
    <w:rsid w:val="00E002EA"/>
    <w:rsid w:val="00E006D6"/>
    <w:rsid w:val="00E00AFB"/>
    <w:rsid w:val="00E01094"/>
    <w:rsid w:val="00E015EA"/>
    <w:rsid w:val="00E019DE"/>
    <w:rsid w:val="00E01F8E"/>
    <w:rsid w:val="00E020A2"/>
    <w:rsid w:val="00E03489"/>
    <w:rsid w:val="00E03F8F"/>
    <w:rsid w:val="00E04752"/>
    <w:rsid w:val="00E04830"/>
    <w:rsid w:val="00E04CCC"/>
    <w:rsid w:val="00E04FFD"/>
    <w:rsid w:val="00E055FC"/>
    <w:rsid w:val="00E0582B"/>
    <w:rsid w:val="00E05D4C"/>
    <w:rsid w:val="00E07CA9"/>
    <w:rsid w:val="00E107F5"/>
    <w:rsid w:val="00E126FC"/>
    <w:rsid w:val="00E13D6A"/>
    <w:rsid w:val="00E15B49"/>
    <w:rsid w:val="00E15D27"/>
    <w:rsid w:val="00E16D75"/>
    <w:rsid w:val="00E204C5"/>
    <w:rsid w:val="00E2083D"/>
    <w:rsid w:val="00E21221"/>
    <w:rsid w:val="00E219F4"/>
    <w:rsid w:val="00E21D46"/>
    <w:rsid w:val="00E22947"/>
    <w:rsid w:val="00E22CD4"/>
    <w:rsid w:val="00E22E8B"/>
    <w:rsid w:val="00E233CD"/>
    <w:rsid w:val="00E246D7"/>
    <w:rsid w:val="00E24EA5"/>
    <w:rsid w:val="00E252BD"/>
    <w:rsid w:val="00E253E5"/>
    <w:rsid w:val="00E258B0"/>
    <w:rsid w:val="00E259F0"/>
    <w:rsid w:val="00E262A1"/>
    <w:rsid w:val="00E26A46"/>
    <w:rsid w:val="00E272D0"/>
    <w:rsid w:val="00E27FAF"/>
    <w:rsid w:val="00E30602"/>
    <w:rsid w:val="00E30961"/>
    <w:rsid w:val="00E31927"/>
    <w:rsid w:val="00E32340"/>
    <w:rsid w:val="00E323DD"/>
    <w:rsid w:val="00E330EF"/>
    <w:rsid w:val="00E3463F"/>
    <w:rsid w:val="00E351A3"/>
    <w:rsid w:val="00E35826"/>
    <w:rsid w:val="00E35C49"/>
    <w:rsid w:val="00E36637"/>
    <w:rsid w:val="00E368AA"/>
    <w:rsid w:val="00E4090F"/>
    <w:rsid w:val="00E420B1"/>
    <w:rsid w:val="00E4345A"/>
    <w:rsid w:val="00E43B61"/>
    <w:rsid w:val="00E4552C"/>
    <w:rsid w:val="00E4649E"/>
    <w:rsid w:val="00E464FD"/>
    <w:rsid w:val="00E4680D"/>
    <w:rsid w:val="00E46ECF"/>
    <w:rsid w:val="00E50F3D"/>
    <w:rsid w:val="00E5117D"/>
    <w:rsid w:val="00E516F4"/>
    <w:rsid w:val="00E5184F"/>
    <w:rsid w:val="00E52152"/>
    <w:rsid w:val="00E53312"/>
    <w:rsid w:val="00E53757"/>
    <w:rsid w:val="00E540CE"/>
    <w:rsid w:val="00E544FD"/>
    <w:rsid w:val="00E547E2"/>
    <w:rsid w:val="00E558AC"/>
    <w:rsid w:val="00E55D0D"/>
    <w:rsid w:val="00E561F6"/>
    <w:rsid w:val="00E56ABF"/>
    <w:rsid w:val="00E5723D"/>
    <w:rsid w:val="00E572F8"/>
    <w:rsid w:val="00E5754D"/>
    <w:rsid w:val="00E5785E"/>
    <w:rsid w:val="00E60295"/>
    <w:rsid w:val="00E61604"/>
    <w:rsid w:val="00E622A4"/>
    <w:rsid w:val="00E62334"/>
    <w:rsid w:val="00E636B6"/>
    <w:rsid w:val="00E654CE"/>
    <w:rsid w:val="00E658C7"/>
    <w:rsid w:val="00E65E67"/>
    <w:rsid w:val="00E6704F"/>
    <w:rsid w:val="00E67DD1"/>
    <w:rsid w:val="00E708FB"/>
    <w:rsid w:val="00E70F9A"/>
    <w:rsid w:val="00E715A3"/>
    <w:rsid w:val="00E7169E"/>
    <w:rsid w:val="00E71988"/>
    <w:rsid w:val="00E72E78"/>
    <w:rsid w:val="00E73048"/>
    <w:rsid w:val="00E7349E"/>
    <w:rsid w:val="00E73A9A"/>
    <w:rsid w:val="00E752B4"/>
    <w:rsid w:val="00E75A84"/>
    <w:rsid w:val="00E76014"/>
    <w:rsid w:val="00E7792A"/>
    <w:rsid w:val="00E77A06"/>
    <w:rsid w:val="00E80B42"/>
    <w:rsid w:val="00E81BF2"/>
    <w:rsid w:val="00E831A7"/>
    <w:rsid w:val="00E84F10"/>
    <w:rsid w:val="00E86BFC"/>
    <w:rsid w:val="00E87BF6"/>
    <w:rsid w:val="00E93109"/>
    <w:rsid w:val="00E94237"/>
    <w:rsid w:val="00E9541E"/>
    <w:rsid w:val="00EA0595"/>
    <w:rsid w:val="00EA0848"/>
    <w:rsid w:val="00EA1730"/>
    <w:rsid w:val="00EA1A45"/>
    <w:rsid w:val="00EA2786"/>
    <w:rsid w:val="00EA39FF"/>
    <w:rsid w:val="00EA3C0E"/>
    <w:rsid w:val="00EA40DB"/>
    <w:rsid w:val="00EA4161"/>
    <w:rsid w:val="00EA428F"/>
    <w:rsid w:val="00EA452E"/>
    <w:rsid w:val="00EA4994"/>
    <w:rsid w:val="00EA4E5B"/>
    <w:rsid w:val="00EA5DAF"/>
    <w:rsid w:val="00EA67A8"/>
    <w:rsid w:val="00EA6EF2"/>
    <w:rsid w:val="00EA7513"/>
    <w:rsid w:val="00EB037C"/>
    <w:rsid w:val="00EB0479"/>
    <w:rsid w:val="00EB0A9B"/>
    <w:rsid w:val="00EB2E51"/>
    <w:rsid w:val="00EB2EC8"/>
    <w:rsid w:val="00EB419D"/>
    <w:rsid w:val="00EB4B98"/>
    <w:rsid w:val="00EB506F"/>
    <w:rsid w:val="00EB56E4"/>
    <w:rsid w:val="00EB5A30"/>
    <w:rsid w:val="00EB5A94"/>
    <w:rsid w:val="00EB7A2C"/>
    <w:rsid w:val="00EC00C5"/>
    <w:rsid w:val="00EC00F4"/>
    <w:rsid w:val="00EC1A61"/>
    <w:rsid w:val="00EC23A2"/>
    <w:rsid w:val="00EC3A08"/>
    <w:rsid w:val="00EC3CA5"/>
    <w:rsid w:val="00EC4673"/>
    <w:rsid w:val="00EC62B3"/>
    <w:rsid w:val="00EC63D9"/>
    <w:rsid w:val="00EC70B3"/>
    <w:rsid w:val="00EC73DE"/>
    <w:rsid w:val="00EC760F"/>
    <w:rsid w:val="00EC7A51"/>
    <w:rsid w:val="00ED0925"/>
    <w:rsid w:val="00ED213A"/>
    <w:rsid w:val="00ED31D0"/>
    <w:rsid w:val="00ED44D2"/>
    <w:rsid w:val="00ED4717"/>
    <w:rsid w:val="00ED4C09"/>
    <w:rsid w:val="00ED50AD"/>
    <w:rsid w:val="00ED582C"/>
    <w:rsid w:val="00EE008E"/>
    <w:rsid w:val="00EE1504"/>
    <w:rsid w:val="00EE1584"/>
    <w:rsid w:val="00EE1970"/>
    <w:rsid w:val="00EE241C"/>
    <w:rsid w:val="00EE2AC5"/>
    <w:rsid w:val="00EE2DD7"/>
    <w:rsid w:val="00EE30AD"/>
    <w:rsid w:val="00EE44FD"/>
    <w:rsid w:val="00EF058D"/>
    <w:rsid w:val="00EF0CA1"/>
    <w:rsid w:val="00EF198F"/>
    <w:rsid w:val="00EF1E1E"/>
    <w:rsid w:val="00EF223E"/>
    <w:rsid w:val="00EF3130"/>
    <w:rsid w:val="00EF35E9"/>
    <w:rsid w:val="00EF3C72"/>
    <w:rsid w:val="00EF3E3D"/>
    <w:rsid w:val="00EF3EB2"/>
    <w:rsid w:val="00EF4024"/>
    <w:rsid w:val="00EF45BA"/>
    <w:rsid w:val="00EF5BEF"/>
    <w:rsid w:val="00EF5D68"/>
    <w:rsid w:val="00EF6316"/>
    <w:rsid w:val="00EF6B3E"/>
    <w:rsid w:val="00EF6EC0"/>
    <w:rsid w:val="00EF703C"/>
    <w:rsid w:val="00EF7260"/>
    <w:rsid w:val="00EF74DD"/>
    <w:rsid w:val="00EF7C89"/>
    <w:rsid w:val="00F004AA"/>
    <w:rsid w:val="00F0117D"/>
    <w:rsid w:val="00F01A82"/>
    <w:rsid w:val="00F0286E"/>
    <w:rsid w:val="00F02ACF"/>
    <w:rsid w:val="00F032AD"/>
    <w:rsid w:val="00F03B90"/>
    <w:rsid w:val="00F04CFC"/>
    <w:rsid w:val="00F04FE3"/>
    <w:rsid w:val="00F054A2"/>
    <w:rsid w:val="00F05739"/>
    <w:rsid w:val="00F05EA3"/>
    <w:rsid w:val="00F06084"/>
    <w:rsid w:val="00F06450"/>
    <w:rsid w:val="00F06DB7"/>
    <w:rsid w:val="00F078CF"/>
    <w:rsid w:val="00F0793C"/>
    <w:rsid w:val="00F10422"/>
    <w:rsid w:val="00F10B28"/>
    <w:rsid w:val="00F12620"/>
    <w:rsid w:val="00F12658"/>
    <w:rsid w:val="00F12693"/>
    <w:rsid w:val="00F12FEC"/>
    <w:rsid w:val="00F13054"/>
    <w:rsid w:val="00F140BA"/>
    <w:rsid w:val="00F1538B"/>
    <w:rsid w:val="00F15605"/>
    <w:rsid w:val="00F16305"/>
    <w:rsid w:val="00F168D5"/>
    <w:rsid w:val="00F17CC6"/>
    <w:rsid w:val="00F206D0"/>
    <w:rsid w:val="00F20821"/>
    <w:rsid w:val="00F21F30"/>
    <w:rsid w:val="00F23933"/>
    <w:rsid w:val="00F23941"/>
    <w:rsid w:val="00F24097"/>
    <w:rsid w:val="00F2465F"/>
    <w:rsid w:val="00F2556C"/>
    <w:rsid w:val="00F258CD"/>
    <w:rsid w:val="00F2654C"/>
    <w:rsid w:val="00F265F6"/>
    <w:rsid w:val="00F26B23"/>
    <w:rsid w:val="00F27825"/>
    <w:rsid w:val="00F3081F"/>
    <w:rsid w:val="00F30B1E"/>
    <w:rsid w:val="00F3174C"/>
    <w:rsid w:val="00F32401"/>
    <w:rsid w:val="00F3269A"/>
    <w:rsid w:val="00F329EB"/>
    <w:rsid w:val="00F32EEA"/>
    <w:rsid w:val="00F33F02"/>
    <w:rsid w:val="00F3542D"/>
    <w:rsid w:val="00F35561"/>
    <w:rsid w:val="00F36051"/>
    <w:rsid w:val="00F3725B"/>
    <w:rsid w:val="00F40D5B"/>
    <w:rsid w:val="00F4133B"/>
    <w:rsid w:val="00F41A53"/>
    <w:rsid w:val="00F42085"/>
    <w:rsid w:val="00F4249B"/>
    <w:rsid w:val="00F42515"/>
    <w:rsid w:val="00F43140"/>
    <w:rsid w:val="00F43307"/>
    <w:rsid w:val="00F434DE"/>
    <w:rsid w:val="00F44087"/>
    <w:rsid w:val="00F44177"/>
    <w:rsid w:val="00F44729"/>
    <w:rsid w:val="00F447AC"/>
    <w:rsid w:val="00F44BB4"/>
    <w:rsid w:val="00F44F34"/>
    <w:rsid w:val="00F45092"/>
    <w:rsid w:val="00F452BC"/>
    <w:rsid w:val="00F4556C"/>
    <w:rsid w:val="00F46091"/>
    <w:rsid w:val="00F46A0A"/>
    <w:rsid w:val="00F46B65"/>
    <w:rsid w:val="00F501D3"/>
    <w:rsid w:val="00F50700"/>
    <w:rsid w:val="00F50867"/>
    <w:rsid w:val="00F508CE"/>
    <w:rsid w:val="00F52B6C"/>
    <w:rsid w:val="00F538F1"/>
    <w:rsid w:val="00F540DD"/>
    <w:rsid w:val="00F54746"/>
    <w:rsid w:val="00F54A33"/>
    <w:rsid w:val="00F54AD9"/>
    <w:rsid w:val="00F553A0"/>
    <w:rsid w:val="00F55979"/>
    <w:rsid w:val="00F55AE7"/>
    <w:rsid w:val="00F569EE"/>
    <w:rsid w:val="00F60203"/>
    <w:rsid w:val="00F61203"/>
    <w:rsid w:val="00F61CD6"/>
    <w:rsid w:val="00F61D8E"/>
    <w:rsid w:val="00F63846"/>
    <w:rsid w:val="00F63AD3"/>
    <w:rsid w:val="00F63B88"/>
    <w:rsid w:val="00F63F0E"/>
    <w:rsid w:val="00F6513C"/>
    <w:rsid w:val="00F65540"/>
    <w:rsid w:val="00F659B8"/>
    <w:rsid w:val="00F65A3B"/>
    <w:rsid w:val="00F65E1F"/>
    <w:rsid w:val="00F67233"/>
    <w:rsid w:val="00F675D5"/>
    <w:rsid w:val="00F678CB"/>
    <w:rsid w:val="00F67E91"/>
    <w:rsid w:val="00F70339"/>
    <w:rsid w:val="00F70908"/>
    <w:rsid w:val="00F70CA9"/>
    <w:rsid w:val="00F71100"/>
    <w:rsid w:val="00F716F6"/>
    <w:rsid w:val="00F72495"/>
    <w:rsid w:val="00F726E1"/>
    <w:rsid w:val="00F73593"/>
    <w:rsid w:val="00F74081"/>
    <w:rsid w:val="00F74B38"/>
    <w:rsid w:val="00F75657"/>
    <w:rsid w:val="00F80787"/>
    <w:rsid w:val="00F80BD2"/>
    <w:rsid w:val="00F818A8"/>
    <w:rsid w:val="00F83CFE"/>
    <w:rsid w:val="00F849F8"/>
    <w:rsid w:val="00F84DB4"/>
    <w:rsid w:val="00F84F79"/>
    <w:rsid w:val="00F851C8"/>
    <w:rsid w:val="00F85311"/>
    <w:rsid w:val="00F856E4"/>
    <w:rsid w:val="00F85801"/>
    <w:rsid w:val="00F859A0"/>
    <w:rsid w:val="00F85AD4"/>
    <w:rsid w:val="00F8769C"/>
    <w:rsid w:val="00F87B82"/>
    <w:rsid w:val="00F90D7C"/>
    <w:rsid w:val="00F917FE"/>
    <w:rsid w:val="00F91AD2"/>
    <w:rsid w:val="00F924F5"/>
    <w:rsid w:val="00F925C2"/>
    <w:rsid w:val="00F93799"/>
    <w:rsid w:val="00F93C29"/>
    <w:rsid w:val="00F93EAC"/>
    <w:rsid w:val="00F9407A"/>
    <w:rsid w:val="00F942D1"/>
    <w:rsid w:val="00F94CEA"/>
    <w:rsid w:val="00F95213"/>
    <w:rsid w:val="00F953DD"/>
    <w:rsid w:val="00F953FE"/>
    <w:rsid w:val="00F9566B"/>
    <w:rsid w:val="00FA0590"/>
    <w:rsid w:val="00FA0759"/>
    <w:rsid w:val="00FA0F13"/>
    <w:rsid w:val="00FA151E"/>
    <w:rsid w:val="00FA1EFF"/>
    <w:rsid w:val="00FA1F83"/>
    <w:rsid w:val="00FA3BE0"/>
    <w:rsid w:val="00FA3F1D"/>
    <w:rsid w:val="00FA3FF3"/>
    <w:rsid w:val="00FA6B4B"/>
    <w:rsid w:val="00FA75D1"/>
    <w:rsid w:val="00FA793F"/>
    <w:rsid w:val="00FA7D1A"/>
    <w:rsid w:val="00FA7E2A"/>
    <w:rsid w:val="00FA7F87"/>
    <w:rsid w:val="00FB0233"/>
    <w:rsid w:val="00FB0622"/>
    <w:rsid w:val="00FB13CC"/>
    <w:rsid w:val="00FB24CF"/>
    <w:rsid w:val="00FB2D37"/>
    <w:rsid w:val="00FB492F"/>
    <w:rsid w:val="00FB4BD2"/>
    <w:rsid w:val="00FB543A"/>
    <w:rsid w:val="00FB56D6"/>
    <w:rsid w:val="00FB5B66"/>
    <w:rsid w:val="00FB60D6"/>
    <w:rsid w:val="00FC18E6"/>
    <w:rsid w:val="00FC1C09"/>
    <w:rsid w:val="00FC1E92"/>
    <w:rsid w:val="00FC2A00"/>
    <w:rsid w:val="00FC2AA1"/>
    <w:rsid w:val="00FC2B0F"/>
    <w:rsid w:val="00FC45AA"/>
    <w:rsid w:val="00FC45F7"/>
    <w:rsid w:val="00FC66CB"/>
    <w:rsid w:val="00FC6F3A"/>
    <w:rsid w:val="00FC72D5"/>
    <w:rsid w:val="00FD0E6A"/>
    <w:rsid w:val="00FD1381"/>
    <w:rsid w:val="00FD1558"/>
    <w:rsid w:val="00FD1952"/>
    <w:rsid w:val="00FD1FC3"/>
    <w:rsid w:val="00FD2500"/>
    <w:rsid w:val="00FD2695"/>
    <w:rsid w:val="00FD3666"/>
    <w:rsid w:val="00FD3C1C"/>
    <w:rsid w:val="00FD5AE5"/>
    <w:rsid w:val="00FD5F96"/>
    <w:rsid w:val="00FD6E68"/>
    <w:rsid w:val="00FD797B"/>
    <w:rsid w:val="00FE010C"/>
    <w:rsid w:val="00FE097D"/>
    <w:rsid w:val="00FE29DF"/>
    <w:rsid w:val="00FE2EE4"/>
    <w:rsid w:val="00FE38F6"/>
    <w:rsid w:val="00FE4716"/>
    <w:rsid w:val="00FE4AE9"/>
    <w:rsid w:val="00FE5B91"/>
    <w:rsid w:val="00FE6907"/>
    <w:rsid w:val="00FE694A"/>
    <w:rsid w:val="00FE6B7A"/>
    <w:rsid w:val="00FE6EB4"/>
    <w:rsid w:val="00FE7FB8"/>
    <w:rsid w:val="00FF034F"/>
    <w:rsid w:val="00FF1358"/>
    <w:rsid w:val="00FF1B23"/>
    <w:rsid w:val="00FF42B0"/>
    <w:rsid w:val="00FF458D"/>
    <w:rsid w:val="00FF593D"/>
    <w:rsid w:val="00FF7476"/>
    <w:rsid w:val="012DC21F"/>
    <w:rsid w:val="013C19D7"/>
    <w:rsid w:val="0165381B"/>
    <w:rsid w:val="01CCC252"/>
    <w:rsid w:val="01FB8EE5"/>
    <w:rsid w:val="02068FDD"/>
    <w:rsid w:val="021580FE"/>
    <w:rsid w:val="021D9ED2"/>
    <w:rsid w:val="0231AEE2"/>
    <w:rsid w:val="02C96D05"/>
    <w:rsid w:val="033F6DD3"/>
    <w:rsid w:val="03539729"/>
    <w:rsid w:val="036292B6"/>
    <w:rsid w:val="037465F6"/>
    <w:rsid w:val="03AC33E5"/>
    <w:rsid w:val="03D21BB0"/>
    <w:rsid w:val="03EBFCD7"/>
    <w:rsid w:val="041DC9B5"/>
    <w:rsid w:val="045D3C95"/>
    <w:rsid w:val="04D83082"/>
    <w:rsid w:val="04F7E611"/>
    <w:rsid w:val="0541A752"/>
    <w:rsid w:val="055E6EB0"/>
    <w:rsid w:val="056B4989"/>
    <w:rsid w:val="059398C5"/>
    <w:rsid w:val="066A5710"/>
    <w:rsid w:val="0770B247"/>
    <w:rsid w:val="07831BCC"/>
    <w:rsid w:val="07AB84DD"/>
    <w:rsid w:val="07D0C63A"/>
    <w:rsid w:val="08014A8B"/>
    <w:rsid w:val="08042B84"/>
    <w:rsid w:val="0885FF56"/>
    <w:rsid w:val="08968124"/>
    <w:rsid w:val="091A2DAC"/>
    <w:rsid w:val="0938591F"/>
    <w:rsid w:val="095425C5"/>
    <w:rsid w:val="09623C7D"/>
    <w:rsid w:val="09B4A5D7"/>
    <w:rsid w:val="09E4301C"/>
    <w:rsid w:val="09F71683"/>
    <w:rsid w:val="0A08D4D8"/>
    <w:rsid w:val="0A5D994F"/>
    <w:rsid w:val="0A7E05A3"/>
    <w:rsid w:val="0AA2A059"/>
    <w:rsid w:val="0AF67498"/>
    <w:rsid w:val="0B16515D"/>
    <w:rsid w:val="0B4DDD1C"/>
    <w:rsid w:val="0BA550CF"/>
    <w:rsid w:val="0BB372E9"/>
    <w:rsid w:val="0BD2FAE4"/>
    <w:rsid w:val="0C18F45D"/>
    <w:rsid w:val="0C2A45D2"/>
    <w:rsid w:val="0C58E136"/>
    <w:rsid w:val="0C69B1E1"/>
    <w:rsid w:val="0C73A42D"/>
    <w:rsid w:val="0CAC2EC8"/>
    <w:rsid w:val="0D12DFBC"/>
    <w:rsid w:val="0DDAAA50"/>
    <w:rsid w:val="0E1E7503"/>
    <w:rsid w:val="0E76A089"/>
    <w:rsid w:val="0E889F2E"/>
    <w:rsid w:val="0F085AFE"/>
    <w:rsid w:val="0F7F92E8"/>
    <w:rsid w:val="0FDA92FB"/>
    <w:rsid w:val="0FE76FAD"/>
    <w:rsid w:val="1033FBF8"/>
    <w:rsid w:val="106D2DB3"/>
    <w:rsid w:val="10CB8FB8"/>
    <w:rsid w:val="10DC1A4B"/>
    <w:rsid w:val="10E46231"/>
    <w:rsid w:val="10FF19C3"/>
    <w:rsid w:val="11025468"/>
    <w:rsid w:val="11220696"/>
    <w:rsid w:val="11306D33"/>
    <w:rsid w:val="11380B80"/>
    <w:rsid w:val="114BE524"/>
    <w:rsid w:val="1156121E"/>
    <w:rsid w:val="11B2FB07"/>
    <w:rsid w:val="132FBC4B"/>
    <w:rsid w:val="13539919"/>
    <w:rsid w:val="1360DC20"/>
    <w:rsid w:val="14279F08"/>
    <w:rsid w:val="1452016F"/>
    <w:rsid w:val="14B9EF42"/>
    <w:rsid w:val="14F5D155"/>
    <w:rsid w:val="157C9D5C"/>
    <w:rsid w:val="1584A906"/>
    <w:rsid w:val="1596AA83"/>
    <w:rsid w:val="159A7ED3"/>
    <w:rsid w:val="15C93C76"/>
    <w:rsid w:val="15E35AE4"/>
    <w:rsid w:val="167F2FC9"/>
    <w:rsid w:val="16A918C2"/>
    <w:rsid w:val="16B7AE7A"/>
    <w:rsid w:val="16E3BFB3"/>
    <w:rsid w:val="171E6DB2"/>
    <w:rsid w:val="17D8A652"/>
    <w:rsid w:val="17DCC635"/>
    <w:rsid w:val="180A6E08"/>
    <w:rsid w:val="185B9F34"/>
    <w:rsid w:val="18BB32DC"/>
    <w:rsid w:val="195F43B9"/>
    <w:rsid w:val="1978B5FB"/>
    <w:rsid w:val="19C7C6EA"/>
    <w:rsid w:val="1AB15A67"/>
    <w:rsid w:val="1AB546D4"/>
    <w:rsid w:val="1AE8E44A"/>
    <w:rsid w:val="1B3AC8DF"/>
    <w:rsid w:val="1B726324"/>
    <w:rsid w:val="1B918BB5"/>
    <w:rsid w:val="1BE1686F"/>
    <w:rsid w:val="1BE36AEE"/>
    <w:rsid w:val="1BF0210D"/>
    <w:rsid w:val="1BF44E35"/>
    <w:rsid w:val="1C1448C1"/>
    <w:rsid w:val="1C156902"/>
    <w:rsid w:val="1CCF25F1"/>
    <w:rsid w:val="1CD22901"/>
    <w:rsid w:val="1CDCAF4C"/>
    <w:rsid w:val="1CE5E663"/>
    <w:rsid w:val="1CED8093"/>
    <w:rsid w:val="1D038E46"/>
    <w:rsid w:val="1E356342"/>
    <w:rsid w:val="1E3ABA0A"/>
    <w:rsid w:val="1E4F5677"/>
    <w:rsid w:val="1F4EC4DD"/>
    <w:rsid w:val="1F8430D7"/>
    <w:rsid w:val="1FA84948"/>
    <w:rsid w:val="1FA9AC3E"/>
    <w:rsid w:val="1FC44033"/>
    <w:rsid w:val="2005AFDD"/>
    <w:rsid w:val="2054B32F"/>
    <w:rsid w:val="209307AC"/>
    <w:rsid w:val="218AA1D3"/>
    <w:rsid w:val="218EDB01"/>
    <w:rsid w:val="2194FA3B"/>
    <w:rsid w:val="21B1E67D"/>
    <w:rsid w:val="220B4B64"/>
    <w:rsid w:val="2276EF81"/>
    <w:rsid w:val="22995948"/>
    <w:rsid w:val="22B5D6A4"/>
    <w:rsid w:val="22BEF66D"/>
    <w:rsid w:val="22CBFAC4"/>
    <w:rsid w:val="2300CADA"/>
    <w:rsid w:val="23C434B3"/>
    <w:rsid w:val="241F195D"/>
    <w:rsid w:val="243DB499"/>
    <w:rsid w:val="244DAF68"/>
    <w:rsid w:val="2469C317"/>
    <w:rsid w:val="24A16BA4"/>
    <w:rsid w:val="250ECE66"/>
    <w:rsid w:val="2537CE64"/>
    <w:rsid w:val="255E26C0"/>
    <w:rsid w:val="256716BF"/>
    <w:rsid w:val="25BD3633"/>
    <w:rsid w:val="25CBC20A"/>
    <w:rsid w:val="25E47EFB"/>
    <w:rsid w:val="2601A7C9"/>
    <w:rsid w:val="2678134C"/>
    <w:rsid w:val="26A53B71"/>
    <w:rsid w:val="26A81AEC"/>
    <w:rsid w:val="26CBEE83"/>
    <w:rsid w:val="26D464A7"/>
    <w:rsid w:val="27388B69"/>
    <w:rsid w:val="27FB3078"/>
    <w:rsid w:val="2829521C"/>
    <w:rsid w:val="283A904E"/>
    <w:rsid w:val="285E8775"/>
    <w:rsid w:val="28B91793"/>
    <w:rsid w:val="28BE7EAE"/>
    <w:rsid w:val="28D2557B"/>
    <w:rsid w:val="28D3AB0C"/>
    <w:rsid w:val="28F8CFAC"/>
    <w:rsid w:val="29B77B39"/>
    <w:rsid w:val="29CF8059"/>
    <w:rsid w:val="29D22D05"/>
    <w:rsid w:val="2A1FFA05"/>
    <w:rsid w:val="2A2979D4"/>
    <w:rsid w:val="2A4AB9C0"/>
    <w:rsid w:val="2A4AF419"/>
    <w:rsid w:val="2AC9D768"/>
    <w:rsid w:val="2B2C7D8C"/>
    <w:rsid w:val="2BAA96D8"/>
    <w:rsid w:val="2BCC7982"/>
    <w:rsid w:val="2BD70321"/>
    <w:rsid w:val="2BF189D0"/>
    <w:rsid w:val="2BFEB84F"/>
    <w:rsid w:val="2C5DB500"/>
    <w:rsid w:val="2CB85D94"/>
    <w:rsid w:val="2CCED24A"/>
    <w:rsid w:val="2D12153E"/>
    <w:rsid w:val="2D98E3E9"/>
    <w:rsid w:val="2E227036"/>
    <w:rsid w:val="2E256E7C"/>
    <w:rsid w:val="2E76ED10"/>
    <w:rsid w:val="2F0EBC8E"/>
    <w:rsid w:val="2F4A4FBF"/>
    <w:rsid w:val="2F6ADA86"/>
    <w:rsid w:val="2F7803CE"/>
    <w:rsid w:val="30079D1C"/>
    <w:rsid w:val="30283CEB"/>
    <w:rsid w:val="303CFED4"/>
    <w:rsid w:val="316794B5"/>
    <w:rsid w:val="31C5EF63"/>
    <w:rsid w:val="31EEFE72"/>
    <w:rsid w:val="322CE88A"/>
    <w:rsid w:val="32884732"/>
    <w:rsid w:val="32BE39AB"/>
    <w:rsid w:val="3381DC39"/>
    <w:rsid w:val="33A4B926"/>
    <w:rsid w:val="33D3BCBC"/>
    <w:rsid w:val="344BAD83"/>
    <w:rsid w:val="348D0317"/>
    <w:rsid w:val="349D6609"/>
    <w:rsid w:val="349F9E31"/>
    <w:rsid w:val="34C7459C"/>
    <w:rsid w:val="34DD79BF"/>
    <w:rsid w:val="3532B133"/>
    <w:rsid w:val="3563B0EE"/>
    <w:rsid w:val="356E4638"/>
    <w:rsid w:val="35A20494"/>
    <w:rsid w:val="3606DC74"/>
    <w:rsid w:val="3672DB9B"/>
    <w:rsid w:val="36BE637E"/>
    <w:rsid w:val="36E88377"/>
    <w:rsid w:val="37443D75"/>
    <w:rsid w:val="37AF2F18"/>
    <w:rsid w:val="37B275E3"/>
    <w:rsid w:val="37C2579B"/>
    <w:rsid w:val="37C909A9"/>
    <w:rsid w:val="382F4661"/>
    <w:rsid w:val="3843A093"/>
    <w:rsid w:val="38AA6860"/>
    <w:rsid w:val="3904CBD4"/>
    <w:rsid w:val="39393EAC"/>
    <w:rsid w:val="397D140A"/>
    <w:rsid w:val="39E0B905"/>
    <w:rsid w:val="39E2CC57"/>
    <w:rsid w:val="3A985916"/>
    <w:rsid w:val="3A9B4B18"/>
    <w:rsid w:val="3ABE0E2C"/>
    <w:rsid w:val="3ADFC016"/>
    <w:rsid w:val="3B093C0A"/>
    <w:rsid w:val="3B84E485"/>
    <w:rsid w:val="3BE48A54"/>
    <w:rsid w:val="3BEEE85E"/>
    <w:rsid w:val="3C05F08D"/>
    <w:rsid w:val="3C09441E"/>
    <w:rsid w:val="3C560795"/>
    <w:rsid w:val="3C7F3F16"/>
    <w:rsid w:val="3C888ABE"/>
    <w:rsid w:val="3CB7B935"/>
    <w:rsid w:val="3CC9FA67"/>
    <w:rsid w:val="3CE711D0"/>
    <w:rsid w:val="3CED4BF3"/>
    <w:rsid w:val="3D7F399A"/>
    <w:rsid w:val="3D925E11"/>
    <w:rsid w:val="3D9374FC"/>
    <w:rsid w:val="3DC89CB6"/>
    <w:rsid w:val="3E4F78B6"/>
    <w:rsid w:val="3E743A0F"/>
    <w:rsid w:val="3EA0BFE6"/>
    <w:rsid w:val="3F042981"/>
    <w:rsid w:val="3F7080A5"/>
    <w:rsid w:val="3FC14426"/>
    <w:rsid w:val="3FE7C795"/>
    <w:rsid w:val="4042AA0B"/>
    <w:rsid w:val="40506601"/>
    <w:rsid w:val="40B22D9D"/>
    <w:rsid w:val="40C4529A"/>
    <w:rsid w:val="40DAC51E"/>
    <w:rsid w:val="40E0332F"/>
    <w:rsid w:val="40F67CE6"/>
    <w:rsid w:val="4119D5BB"/>
    <w:rsid w:val="41A2928B"/>
    <w:rsid w:val="41D08C1C"/>
    <w:rsid w:val="41FEEA67"/>
    <w:rsid w:val="4289A082"/>
    <w:rsid w:val="42C92B28"/>
    <w:rsid w:val="42D83699"/>
    <w:rsid w:val="430FCE0C"/>
    <w:rsid w:val="4319ECD4"/>
    <w:rsid w:val="4323B93F"/>
    <w:rsid w:val="43BEBFE1"/>
    <w:rsid w:val="43BF8518"/>
    <w:rsid w:val="441CD56D"/>
    <w:rsid w:val="442AF1ED"/>
    <w:rsid w:val="4478A38F"/>
    <w:rsid w:val="449C8431"/>
    <w:rsid w:val="44D59FA7"/>
    <w:rsid w:val="451D66E0"/>
    <w:rsid w:val="4532D958"/>
    <w:rsid w:val="45689E53"/>
    <w:rsid w:val="4591CC3E"/>
    <w:rsid w:val="46343D94"/>
    <w:rsid w:val="4644BD75"/>
    <w:rsid w:val="46A33D94"/>
    <w:rsid w:val="46C46C09"/>
    <w:rsid w:val="47196ADF"/>
    <w:rsid w:val="4722E244"/>
    <w:rsid w:val="4724DB4A"/>
    <w:rsid w:val="47B3F060"/>
    <w:rsid w:val="4847C8F1"/>
    <w:rsid w:val="48495D7C"/>
    <w:rsid w:val="492232DC"/>
    <w:rsid w:val="49608EBD"/>
    <w:rsid w:val="49AEC84B"/>
    <w:rsid w:val="4A5BFADA"/>
    <w:rsid w:val="4A7ACC0E"/>
    <w:rsid w:val="4AA8B51A"/>
    <w:rsid w:val="4B51A552"/>
    <w:rsid w:val="4B9E00AA"/>
    <w:rsid w:val="4C36A706"/>
    <w:rsid w:val="4CB3F9E0"/>
    <w:rsid w:val="4CCA453A"/>
    <w:rsid w:val="4D30E971"/>
    <w:rsid w:val="4D39AB70"/>
    <w:rsid w:val="4D42BE90"/>
    <w:rsid w:val="4D63D4F7"/>
    <w:rsid w:val="4D7B2B9B"/>
    <w:rsid w:val="4D9B7FEA"/>
    <w:rsid w:val="4DDAC615"/>
    <w:rsid w:val="4DFC45B1"/>
    <w:rsid w:val="4E86F08A"/>
    <w:rsid w:val="4E8AA7BE"/>
    <w:rsid w:val="4EA7E7CF"/>
    <w:rsid w:val="4F4DA1CC"/>
    <w:rsid w:val="4F774E6D"/>
    <w:rsid w:val="4F8D86B4"/>
    <w:rsid w:val="4FB201F8"/>
    <w:rsid w:val="4FFA1A9C"/>
    <w:rsid w:val="5000E8C5"/>
    <w:rsid w:val="5041F04F"/>
    <w:rsid w:val="504944B9"/>
    <w:rsid w:val="50500DF8"/>
    <w:rsid w:val="5081CC1B"/>
    <w:rsid w:val="50C73AEB"/>
    <w:rsid w:val="50E93C86"/>
    <w:rsid w:val="5177519A"/>
    <w:rsid w:val="517B2600"/>
    <w:rsid w:val="51B6F595"/>
    <w:rsid w:val="51D03488"/>
    <w:rsid w:val="52400E48"/>
    <w:rsid w:val="52B66170"/>
    <w:rsid w:val="52F07B26"/>
    <w:rsid w:val="532AABF5"/>
    <w:rsid w:val="5368A639"/>
    <w:rsid w:val="5381C861"/>
    <w:rsid w:val="539DD844"/>
    <w:rsid w:val="53F0A9C1"/>
    <w:rsid w:val="542F9BDC"/>
    <w:rsid w:val="54399276"/>
    <w:rsid w:val="54E1F924"/>
    <w:rsid w:val="554CE720"/>
    <w:rsid w:val="556C3063"/>
    <w:rsid w:val="55BA93BE"/>
    <w:rsid w:val="55D6AF24"/>
    <w:rsid w:val="55D833A9"/>
    <w:rsid w:val="56232A72"/>
    <w:rsid w:val="563088A7"/>
    <w:rsid w:val="5645F8BD"/>
    <w:rsid w:val="57664216"/>
    <w:rsid w:val="57673B86"/>
    <w:rsid w:val="577BBA21"/>
    <w:rsid w:val="5835B95C"/>
    <w:rsid w:val="584ACE9A"/>
    <w:rsid w:val="585B665C"/>
    <w:rsid w:val="59158836"/>
    <w:rsid w:val="5A21A921"/>
    <w:rsid w:val="5A492203"/>
    <w:rsid w:val="5A923468"/>
    <w:rsid w:val="5AB0FDED"/>
    <w:rsid w:val="5ABDFFB0"/>
    <w:rsid w:val="5B0F9735"/>
    <w:rsid w:val="5B651C99"/>
    <w:rsid w:val="5B687305"/>
    <w:rsid w:val="5B68F34F"/>
    <w:rsid w:val="5C1B612A"/>
    <w:rsid w:val="5C2E46AB"/>
    <w:rsid w:val="5C3FA11D"/>
    <w:rsid w:val="5C8A7556"/>
    <w:rsid w:val="5C9CD50E"/>
    <w:rsid w:val="5CBC8A58"/>
    <w:rsid w:val="5CCD1BBB"/>
    <w:rsid w:val="5D60E6EA"/>
    <w:rsid w:val="5D71158C"/>
    <w:rsid w:val="5D9FF662"/>
    <w:rsid w:val="5E24262E"/>
    <w:rsid w:val="5E4C13E9"/>
    <w:rsid w:val="5E71F00A"/>
    <w:rsid w:val="5EBB9DB5"/>
    <w:rsid w:val="5EBDAF0F"/>
    <w:rsid w:val="5ED8C75C"/>
    <w:rsid w:val="5F0B4FA7"/>
    <w:rsid w:val="5F22BD5E"/>
    <w:rsid w:val="5FCDDEE9"/>
    <w:rsid w:val="6006CDBF"/>
    <w:rsid w:val="601DF8D2"/>
    <w:rsid w:val="6020C133"/>
    <w:rsid w:val="603ACA88"/>
    <w:rsid w:val="603FCDF9"/>
    <w:rsid w:val="604D12EB"/>
    <w:rsid w:val="60B53C22"/>
    <w:rsid w:val="60DE6535"/>
    <w:rsid w:val="61323849"/>
    <w:rsid w:val="61788ECB"/>
    <w:rsid w:val="61BA5F27"/>
    <w:rsid w:val="61F60134"/>
    <w:rsid w:val="6262247B"/>
    <w:rsid w:val="634BF3E2"/>
    <w:rsid w:val="635CA57D"/>
    <w:rsid w:val="635EC76B"/>
    <w:rsid w:val="6378CDCF"/>
    <w:rsid w:val="64138468"/>
    <w:rsid w:val="64305ADC"/>
    <w:rsid w:val="6472B01C"/>
    <w:rsid w:val="64859C9F"/>
    <w:rsid w:val="648AEDE7"/>
    <w:rsid w:val="64CEFD3D"/>
    <w:rsid w:val="64F4A645"/>
    <w:rsid w:val="652D427D"/>
    <w:rsid w:val="65916CED"/>
    <w:rsid w:val="65BB58CB"/>
    <w:rsid w:val="6702C215"/>
    <w:rsid w:val="687DAFBC"/>
    <w:rsid w:val="698D9E5F"/>
    <w:rsid w:val="69CC03B9"/>
    <w:rsid w:val="6A32E4C4"/>
    <w:rsid w:val="6A424E04"/>
    <w:rsid w:val="6B13A80E"/>
    <w:rsid w:val="6B35E46F"/>
    <w:rsid w:val="6B4089C8"/>
    <w:rsid w:val="6B7292F4"/>
    <w:rsid w:val="6B7C97B6"/>
    <w:rsid w:val="6B81956D"/>
    <w:rsid w:val="6B8624F5"/>
    <w:rsid w:val="6BD5AB94"/>
    <w:rsid w:val="6C2E7926"/>
    <w:rsid w:val="6C404CEC"/>
    <w:rsid w:val="6C58A4C2"/>
    <w:rsid w:val="6D0A5584"/>
    <w:rsid w:val="6D1AB1BC"/>
    <w:rsid w:val="6D2C816A"/>
    <w:rsid w:val="6D30DF76"/>
    <w:rsid w:val="6D4086EA"/>
    <w:rsid w:val="6D621830"/>
    <w:rsid w:val="6DA5CB8F"/>
    <w:rsid w:val="6ED94173"/>
    <w:rsid w:val="6EDE4E12"/>
    <w:rsid w:val="6EFBEDCF"/>
    <w:rsid w:val="6F12695E"/>
    <w:rsid w:val="704F5A02"/>
    <w:rsid w:val="70BBEDF0"/>
    <w:rsid w:val="70EC85F8"/>
    <w:rsid w:val="7110DC80"/>
    <w:rsid w:val="71123974"/>
    <w:rsid w:val="7127542A"/>
    <w:rsid w:val="713DF4E3"/>
    <w:rsid w:val="722DC7CC"/>
    <w:rsid w:val="72B25795"/>
    <w:rsid w:val="73859F22"/>
    <w:rsid w:val="73B53608"/>
    <w:rsid w:val="73B5F459"/>
    <w:rsid w:val="73EF204F"/>
    <w:rsid w:val="73F60B98"/>
    <w:rsid w:val="7407AA29"/>
    <w:rsid w:val="744AA27E"/>
    <w:rsid w:val="74C4DA0F"/>
    <w:rsid w:val="74CFDB50"/>
    <w:rsid w:val="7503D666"/>
    <w:rsid w:val="758E438E"/>
    <w:rsid w:val="75CB624D"/>
    <w:rsid w:val="765E9D7A"/>
    <w:rsid w:val="7662E28E"/>
    <w:rsid w:val="767D6ED3"/>
    <w:rsid w:val="768412F3"/>
    <w:rsid w:val="76C6F713"/>
    <w:rsid w:val="77515134"/>
    <w:rsid w:val="776060ED"/>
    <w:rsid w:val="78590768"/>
    <w:rsid w:val="78A1A2F9"/>
    <w:rsid w:val="78A2696B"/>
    <w:rsid w:val="78B10F2F"/>
    <w:rsid w:val="78BE6790"/>
    <w:rsid w:val="78D274D3"/>
    <w:rsid w:val="7916E985"/>
    <w:rsid w:val="79AD237A"/>
    <w:rsid w:val="79CBD461"/>
    <w:rsid w:val="7A3FD6DC"/>
    <w:rsid w:val="7A4E2670"/>
    <w:rsid w:val="7A89C487"/>
    <w:rsid w:val="7A919380"/>
    <w:rsid w:val="7B068D9E"/>
    <w:rsid w:val="7B3C33E5"/>
    <w:rsid w:val="7B3D6DA6"/>
    <w:rsid w:val="7B588B26"/>
    <w:rsid w:val="7BAF8C9F"/>
    <w:rsid w:val="7C504217"/>
    <w:rsid w:val="7C52D830"/>
    <w:rsid w:val="7CB95203"/>
    <w:rsid w:val="7D0DF897"/>
    <w:rsid w:val="7D29A1A6"/>
    <w:rsid w:val="7D99E7ED"/>
    <w:rsid w:val="7D9BB75E"/>
    <w:rsid w:val="7E569878"/>
    <w:rsid w:val="7E5C127D"/>
    <w:rsid w:val="7E941EB9"/>
    <w:rsid w:val="7EAE0613"/>
    <w:rsid w:val="7EC3FAC8"/>
    <w:rsid w:val="7EC5EFAC"/>
    <w:rsid w:val="7EE61924"/>
    <w:rsid w:val="7F38FBF9"/>
    <w:rsid w:val="7F8A5AD9"/>
    <w:rsid w:val="7FD67BDC"/>
    <w:rsid w:val="7FE6FF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C072DD"/>
  <w14:defaultImageDpi w14:val="300"/>
  <w15:docId w15:val="{995D0B13-4AEC-4E89-A926-FCD45EC33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050"/>
    <w:pPr>
      <w:spacing w:before="120" w:after="120"/>
      <w:jc w:val="both"/>
    </w:pPr>
    <w:rPr>
      <w:rFonts w:ascii="Arial" w:eastAsia="Times New Roman" w:hAnsi="Arial" w:cs="Times New Roman"/>
      <w:lang w:eastAsia="en-GB"/>
    </w:rPr>
  </w:style>
  <w:style w:type="paragraph" w:styleId="Heading1">
    <w:name w:val="heading 1"/>
    <w:basedOn w:val="Normal"/>
    <w:next w:val="Normal"/>
    <w:link w:val="Heading1Char"/>
    <w:uiPriority w:val="9"/>
    <w:qFormat/>
    <w:rsid w:val="004958E8"/>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701183"/>
    <w:pPr>
      <w:keepNext/>
      <w:keepLines/>
      <w:spacing w:before="4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350B3C"/>
    <w:pPr>
      <w:keepNext/>
      <w:keepLines/>
      <w:spacing w:before="40"/>
      <w:outlineLvl w:val="2"/>
    </w:pPr>
    <w:rPr>
      <w:rFonts w:eastAsiaTheme="majorEastAsia" w:cstheme="majorBidi"/>
    </w:rPr>
  </w:style>
  <w:style w:type="paragraph" w:styleId="Heading4">
    <w:name w:val="heading 4"/>
    <w:basedOn w:val="Normal"/>
    <w:next w:val="Normal"/>
    <w:link w:val="Heading4Char"/>
    <w:uiPriority w:val="9"/>
    <w:semiHidden/>
    <w:unhideWhenUsed/>
    <w:qFormat/>
    <w:rsid w:val="00C048F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DB4"/>
    <w:pPr>
      <w:tabs>
        <w:tab w:val="center" w:pos="4513"/>
        <w:tab w:val="right" w:pos="9026"/>
      </w:tabs>
    </w:pPr>
  </w:style>
  <w:style w:type="character" w:customStyle="1" w:styleId="HeaderChar">
    <w:name w:val="Header Char"/>
    <w:basedOn w:val="DefaultParagraphFont"/>
    <w:link w:val="Header"/>
    <w:uiPriority w:val="99"/>
    <w:rsid w:val="00383DB4"/>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383DB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3DB4"/>
    <w:rPr>
      <w:rFonts w:ascii="Lucida Grande" w:eastAsia="Calibri" w:hAnsi="Lucida Grande" w:cs="Lucida Grande"/>
      <w:sz w:val="18"/>
      <w:szCs w:val="18"/>
    </w:rPr>
  </w:style>
  <w:style w:type="paragraph" w:styleId="Footer">
    <w:name w:val="footer"/>
    <w:basedOn w:val="Normal"/>
    <w:link w:val="FooterChar"/>
    <w:uiPriority w:val="99"/>
    <w:unhideWhenUsed/>
    <w:rsid w:val="00353751"/>
    <w:pPr>
      <w:tabs>
        <w:tab w:val="center" w:pos="4320"/>
        <w:tab w:val="right" w:pos="8640"/>
      </w:tabs>
    </w:pPr>
  </w:style>
  <w:style w:type="character" w:customStyle="1" w:styleId="FooterChar">
    <w:name w:val="Footer Char"/>
    <w:basedOn w:val="DefaultParagraphFont"/>
    <w:link w:val="Footer"/>
    <w:uiPriority w:val="99"/>
    <w:rsid w:val="00353751"/>
    <w:rPr>
      <w:rFonts w:ascii="Calibri" w:eastAsia="Calibri" w:hAnsi="Calibri" w:cs="Times New Roman"/>
      <w:sz w:val="22"/>
      <w:szCs w:val="22"/>
    </w:rPr>
  </w:style>
  <w:style w:type="table" w:styleId="TableGrid">
    <w:name w:val="Table Grid"/>
    <w:basedOn w:val="TableNormal"/>
    <w:uiPriority w:val="59"/>
    <w:rsid w:val="00353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1C09"/>
    <w:rPr>
      <w:sz w:val="16"/>
      <w:szCs w:val="16"/>
    </w:rPr>
  </w:style>
  <w:style w:type="paragraph" w:styleId="CommentText">
    <w:name w:val="annotation text"/>
    <w:basedOn w:val="Normal"/>
    <w:link w:val="CommentTextChar"/>
    <w:uiPriority w:val="99"/>
    <w:semiHidden/>
    <w:unhideWhenUsed/>
    <w:rsid w:val="00FC1C09"/>
    <w:rPr>
      <w:sz w:val="20"/>
      <w:szCs w:val="20"/>
    </w:rPr>
  </w:style>
  <w:style w:type="character" w:customStyle="1" w:styleId="CommentTextChar">
    <w:name w:val="Comment Text Char"/>
    <w:basedOn w:val="DefaultParagraphFont"/>
    <w:link w:val="CommentText"/>
    <w:uiPriority w:val="99"/>
    <w:semiHidden/>
    <w:rsid w:val="00FC1C0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C1C09"/>
    <w:rPr>
      <w:b/>
      <w:bCs/>
    </w:rPr>
  </w:style>
  <w:style w:type="character" w:customStyle="1" w:styleId="CommentSubjectChar">
    <w:name w:val="Comment Subject Char"/>
    <w:basedOn w:val="CommentTextChar"/>
    <w:link w:val="CommentSubject"/>
    <w:uiPriority w:val="99"/>
    <w:semiHidden/>
    <w:rsid w:val="00FC1C09"/>
    <w:rPr>
      <w:rFonts w:ascii="Calibri" w:eastAsia="Calibri" w:hAnsi="Calibri" w:cs="Times New Roman"/>
      <w:b/>
      <w:bCs/>
      <w:sz w:val="20"/>
      <w:szCs w:val="20"/>
    </w:rPr>
  </w:style>
  <w:style w:type="character" w:customStyle="1" w:styleId="Heading1Char">
    <w:name w:val="Heading 1 Char"/>
    <w:basedOn w:val="DefaultParagraphFont"/>
    <w:link w:val="Heading1"/>
    <w:uiPriority w:val="9"/>
    <w:rsid w:val="004958E8"/>
    <w:rPr>
      <w:rFonts w:ascii="Arial" w:eastAsiaTheme="majorEastAsia" w:hAnsi="Arial" w:cstheme="majorBidi"/>
      <w:b/>
      <w:sz w:val="28"/>
      <w:szCs w:val="32"/>
      <w:lang w:eastAsia="en-GB"/>
    </w:rPr>
  </w:style>
  <w:style w:type="paragraph" w:styleId="NoSpacing">
    <w:name w:val="No Spacing"/>
    <w:uiPriority w:val="1"/>
    <w:qFormat/>
    <w:rsid w:val="00481D4F"/>
    <w:rPr>
      <w:rFonts w:ascii="Calibri" w:eastAsia="Calibri" w:hAnsi="Calibri" w:cs="Times New Roman"/>
      <w:sz w:val="22"/>
      <w:szCs w:val="22"/>
    </w:rPr>
  </w:style>
  <w:style w:type="paragraph" w:styleId="ListParagraph">
    <w:name w:val="List Paragraph"/>
    <w:basedOn w:val="Normal"/>
    <w:uiPriority w:val="34"/>
    <w:qFormat/>
    <w:rsid w:val="00D57E13"/>
    <w:pPr>
      <w:ind w:left="720"/>
      <w:contextualSpacing/>
    </w:pPr>
  </w:style>
  <w:style w:type="character" w:styleId="Hyperlink">
    <w:name w:val="Hyperlink"/>
    <w:basedOn w:val="DefaultParagraphFont"/>
    <w:uiPriority w:val="99"/>
    <w:unhideWhenUsed/>
    <w:rsid w:val="00AC471F"/>
    <w:rPr>
      <w:color w:val="0000FF" w:themeColor="hyperlink"/>
      <w:u w:val="single"/>
    </w:rPr>
  </w:style>
  <w:style w:type="character" w:customStyle="1" w:styleId="UnresolvedMention1">
    <w:name w:val="Unresolved Mention1"/>
    <w:basedOn w:val="DefaultParagraphFont"/>
    <w:uiPriority w:val="99"/>
    <w:semiHidden/>
    <w:unhideWhenUsed/>
    <w:rsid w:val="00AC471F"/>
    <w:rPr>
      <w:color w:val="605E5C"/>
      <w:shd w:val="clear" w:color="auto" w:fill="E1DFDD"/>
    </w:rPr>
  </w:style>
  <w:style w:type="paragraph" w:customStyle="1" w:styleId="paragraph">
    <w:name w:val="paragraph"/>
    <w:basedOn w:val="Normal"/>
    <w:rsid w:val="004E0C5F"/>
    <w:pPr>
      <w:spacing w:before="100" w:beforeAutospacing="1" w:after="100" w:afterAutospacing="1"/>
    </w:pPr>
  </w:style>
  <w:style w:type="character" w:customStyle="1" w:styleId="normaltextrun">
    <w:name w:val="normaltextrun"/>
    <w:basedOn w:val="DefaultParagraphFont"/>
    <w:rsid w:val="004E0C5F"/>
  </w:style>
  <w:style w:type="character" w:customStyle="1" w:styleId="eop">
    <w:name w:val="eop"/>
    <w:basedOn w:val="DefaultParagraphFont"/>
    <w:rsid w:val="004E0C5F"/>
  </w:style>
  <w:style w:type="character" w:customStyle="1" w:styleId="Heading2Char">
    <w:name w:val="Heading 2 Char"/>
    <w:basedOn w:val="DefaultParagraphFont"/>
    <w:link w:val="Heading2"/>
    <w:uiPriority w:val="9"/>
    <w:rsid w:val="00701183"/>
    <w:rPr>
      <w:rFonts w:ascii="Arial" w:eastAsiaTheme="majorEastAsia" w:hAnsi="Arial" w:cstheme="majorBidi"/>
      <w:b/>
      <w:color w:val="000000" w:themeColor="text1"/>
      <w:szCs w:val="26"/>
      <w:lang w:eastAsia="en-GB"/>
    </w:rPr>
  </w:style>
  <w:style w:type="character" w:customStyle="1" w:styleId="Heading3Char">
    <w:name w:val="Heading 3 Char"/>
    <w:basedOn w:val="DefaultParagraphFont"/>
    <w:link w:val="Heading3"/>
    <w:uiPriority w:val="9"/>
    <w:rsid w:val="00350B3C"/>
    <w:rPr>
      <w:rFonts w:ascii="Arial" w:eastAsiaTheme="majorEastAsia" w:hAnsi="Arial" w:cstheme="majorBidi"/>
    </w:rPr>
  </w:style>
  <w:style w:type="paragraph" w:styleId="TOCHeading">
    <w:name w:val="TOC Heading"/>
    <w:basedOn w:val="Heading1"/>
    <w:next w:val="Normal"/>
    <w:uiPriority w:val="39"/>
    <w:unhideWhenUsed/>
    <w:qFormat/>
    <w:rsid w:val="00EF45BA"/>
    <w:pPr>
      <w:spacing w:line="259" w:lineRule="auto"/>
      <w:outlineLvl w:val="9"/>
    </w:pPr>
    <w:rPr>
      <w:rFonts w:asciiTheme="majorHAnsi" w:hAnsiTheme="majorHAnsi"/>
      <w:b w:val="0"/>
      <w:color w:val="365F91" w:themeColor="accent1" w:themeShade="BF"/>
      <w:lang w:val="en-US"/>
    </w:rPr>
  </w:style>
  <w:style w:type="paragraph" w:styleId="TOC1">
    <w:name w:val="toc 1"/>
    <w:basedOn w:val="Normal"/>
    <w:next w:val="Normal"/>
    <w:autoRedefine/>
    <w:uiPriority w:val="39"/>
    <w:unhideWhenUsed/>
    <w:rsid w:val="00D3219C"/>
    <w:pPr>
      <w:spacing w:after="100"/>
    </w:pPr>
  </w:style>
  <w:style w:type="character" w:styleId="PlaceholderText">
    <w:name w:val="Placeholder Text"/>
    <w:basedOn w:val="DefaultParagraphFont"/>
    <w:uiPriority w:val="99"/>
    <w:semiHidden/>
    <w:rsid w:val="00CD3B66"/>
    <w:rPr>
      <w:color w:val="666666"/>
    </w:rPr>
  </w:style>
  <w:style w:type="paragraph" w:styleId="Caption">
    <w:name w:val="caption"/>
    <w:basedOn w:val="Normal"/>
    <w:next w:val="Normal"/>
    <w:uiPriority w:val="35"/>
    <w:unhideWhenUsed/>
    <w:qFormat/>
    <w:rsid w:val="00F21F30"/>
    <w:rPr>
      <w:i/>
      <w:iCs/>
      <w:color w:val="1F497D" w:themeColor="text2"/>
      <w:sz w:val="18"/>
      <w:szCs w:val="18"/>
    </w:rPr>
  </w:style>
  <w:style w:type="character" w:styleId="FollowedHyperlink">
    <w:name w:val="FollowedHyperlink"/>
    <w:basedOn w:val="DefaultParagraphFont"/>
    <w:uiPriority w:val="99"/>
    <w:semiHidden/>
    <w:unhideWhenUsed/>
    <w:rsid w:val="001D3B5E"/>
    <w:rPr>
      <w:color w:val="800080" w:themeColor="followedHyperlink"/>
      <w:u w:val="single"/>
    </w:rPr>
  </w:style>
  <w:style w:type="paragraph" w:styleId="TOC2">
    <w:name w:val="toc 2"/>
    <w:basedOn w:val="Normal"/>
    <w:next w:val="Normal"/>
    <w:autoRedefine/>
    <w:uiPriority w:val="39"/>
    <w:unhideWhenUsed/>
    <w:rsid w:val="00D3219C"/>
    <w:pPr>
      <w:spacing w:after="100"/>
      <w:ind w:left="220"/>
    </w:pPr>
  </w:style>
  <w:style w:type="paragraph" w:styleId="TableofFigures">
    <w:name w:val="table of figures"/>
    <w:basedOn w:val="Normal"/>
    <w:next w:val="Normal"/>
    <w:uiPriority w:val="99"/>
    <w:unhideWhenUsed/>
    <w:rsid w:val="00A51844"/>
    <w:rPr>
      <w:rFonts w:asciiTheme="minorHAnsi" w:hAnsiTheme="minorHAnsi"/>
      <w:i/>
      <w:iCs/>
      <w:sz w:val="20"/>
      <w:szCs w:val="20"/>
    </w:rPr>
  </w:style>
  <w:style w:type="character" w:customStyle="1" w:styleId="Heading4Char">
    <w:name w:val="Heading 4 Char"/>
    <w:basedOn w:val="DefaultParagraphFont"/>
    <w:link w:val="Heading4"/>
    <w:uiPriority w:val="9"/>
    <w:semiHidden/>
    <w:rsid w:val="00C048F5"/>
    <w:rPr>
      <w:rFonts w:asciiTheme="majorHAnsi" w:eastAsiaTheme="majorEastAsia" w:hAnsiTheme="majorHAnsi" w:cstheme="majorBidi"/>
      <w:i/>
      <w:iCs/>
      <w:color w:val="365F91" w:themeColor="accent1" w:themeShade="BF"/>
      <w:szCs w:val="22"/>
    </w:rPr>
  </w:style>
  <w:style w:type="table" w:styleId="LightList-Accent1">
    <w:name w:val="Light List Accent 1"/>
    <w:basedOn w:val="TableNormal"/>
    <w:uiPriority w:val="61"/>
    <w:semiHidden/>
    <w:unhideWhenUsed/>
    <w:rsid w:val="00B8103F"/>
    <w:rPr>
      <w:rFonts w:ascii="Cambria" w:eastAsia="MS Mincho" w:hAnsi="Cambria" w:cs="Times New Roman"/>
      <w:sz w:val="22"/>
      <w:szCs w:val="22"/>
      <w:lang w:val="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1">
    <w:name w:val="Table Grid1"/>
    <w:basedOn w:val="TableNormal"/>
    <w:next w:val="TableGrid"/>
    <w:uiPriority w:val="59"/>
    <w:rsid w:val="00BD7140"/>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74029"/>
    <w:pPr>
      <w:spacing w:before="100" w:beforeAutospacing="1" w:after="100" w:afterAutospacing="1"/>
    </w:pPr>
  </w:style>
  <w:style w:type="character" w:styleId="Emphasis">
    <w:name w:val="Emphasis"/>
    <w:basedOn w:val="DefaultParagraphFont"/>
    <w:uiPriority w:val="20"/>
    <w:qFormat/>
    <w:rsid w:val="00B74029"/>
    <w:rPr>
      <w:i/>
      <w:iCs/>
    </w:rPr>
  </w:style>
  <w:style w:type="table" w:styleId="PlainTable3">
    <w:name w:val="Plain Table 3"/>
    <w:basedOn w:val="TableNormal"/>
    <w:uiPriority w:val="99"/>
    <w:rsid w:val="00D14E1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D14E1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3">
    <w:name w:val="toc 3"/>
    <w:basedOn w:val="Normal"/>
    <w:next w:val="Normal"/>
    <w:autoRedefine/>
    <w:uiPriority w:val="39"/>
    <w:unhideWhenUsed/>
    <w:rsid w:val="00115107"/>
    <w:pPr>
      <w:spacing w:after="100"/>
      <w:ind w:left="480"/>
    </w:pPr>
  </w:style>
  <w:style w:type="character" w:styleId="Strong">
    <w:name w:val="Strong"/>
    <w:basedOn w:val="DefaultParagraphFont"/>
    <w:uiPriority w:val="22"/>
    <w:qFormat/>
    <w:rsid w:val="00495A8C"/>
    <w:rPr>
      <w:b/>
      <w:bCs/>
    </w:rPr>
  </w:style>
  <w:style w:type="table" w:styleId="ListTable1Light">
    <w:name w:val="List Table 1 Light"/>
    <w:basedOn w:val="TableNormal"/>
    <w:uiPriority w:val="46"/>
    <w:rsid w:val="00495A8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F72495"/>
    <w:rPr>
      <w:color w:val="605E5C"/>
      <w:shd w:val="clear" w:color="auto" w:fill="E1DFDD"/>
    </w:rPr>
  </w:style>
  <w:style w:type="paragraph" w:styleId="BodyText">
    <w:name w:val="Body Text"/>
    <w:basedOn w:val="Normal"/>
    <w:link w:val="BodyTextChar"/>
    <w:rsid w:val="004C3EA0"/>
    <w:pPr>
      <w:spacing w:before="180" w:after="180"/>
    </w:pPr>
    <w:rPr>
      <w:rFonts w:asciiTheme="minorHAnsi" w:eastAsiaTheme="minorHAnsi" w:hAnsiTheme="minorHAnsi" w:cstheme="minorBidi"/>
      <w:lang w:val="en-US" w:eastAsia="en-US"/>
    </w:rPr>
  </w:style>
  <w:style w:type="character" w:customStyle="1" w:styleId="BodyTextChar">
    <w:name w:val="Body Text Char"/>
    <w:basedOn w:val="DefaultParagraphFont"/>
    <w:link w:val="BodyText"/>
    <w:rsid w:val="004C3EA0"/>
    <w:rPr>
      <w:rFonts w:eastAsiaTheme="minorHAnsi"/>
      <w:lang w:val="en-US"/>
    </w:rPr>
  </w:style>
  <w:style w:type="paragraph" w:customStyle="1" w:styleId="FirstParagraph">
    <w:name w:val="First Paragraph"/>
    <w:basedOn w:val="BodyText"/>
    <w:next w:val="BodyText"/>
    <w:rsid w:val="004C3EA0"/>
  </w:style>
  <w:style w:type="paragraph" w:customStyle="1" w:styleId="Compact">
    <w:name w:val="Compact"/>
    <w:basedOn w:val="BodyText"/>
    <w:rsid w:val="004C3EA0"/>
    <w:pPr>
      <w:spacing w:before="36" w:after="36"/>
    </w:pPr>
  </w:style>
  <w:style w:type="table" w:customStyle="1" w:styleId="Table">
    <w:name w:val="Table"/>
    <w:semiHidden/>
    <w:unhideWhenUsed/>
    <w:qFormat/>
    <w:rsid w:val="004C3EA0"/>
    <w:pPr>
      <w:spacing w:after="200"/>
    </w:pPr>
    <w:rPr>
      <w:rFonts w:eastAsiaTheme="minorHAnsi"/>
      <w:lang w:val="en-US"/>
    </w:rPr>
    <w:tblPr>
      <w:tblInd w:w="0" w:type="dxa"/>
      <w:tblCellMar>
        <w:top w:w="0" w:type="dxa"/>
        <w:left w:w="108" w:type="dxa"/>
        <w:bottom w:w="0" w:type="dxa"/>
        <w:right w:w="108" w:type="dxa"/>
      </w:tblCellMar>
    </w:tblPr>
  </w:style>
  <w:style w:type="character" w:styleId="PageNumber">
    <w:name w:val="page number"/>
    <w:basedOn w:val="DefaultParagraphFont"/>
    <w:uiPriority w:val="99"/>
    <w:semiHidden/>
    <w:unhideWhenUsed/>
    <w:rsid w:val="006D7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191853">
      <w:bodyDiv w:val="1"/>
      <w:marLeft w:val="0"/>
      <w:marRight w:val="0"/>
      <w:marTop w:val="0"/>
      <w:marBottom w:val="0"/>
      <w:divBdr>
        <w:top w:val="none" w:sz="0" w:space="0" w:color="auto"/>
        <w:left w:val="none" w:sz="0" w:space="0" w:color="auto"/>
        <w:bottom w:val="none" w:sz="0" w:space="0" w:color="auto"/>
        <w:right w:val="none" w:sz="0" w:space="0" w:color="auto"/>
      </w:divBdr>
      <w:divsChild>
        <w:div w:id="232929090">
          <w:marLeft w:val="0"/>
          <w:marRight w:val="0"/>
          <w:marTop w:val="0"/>
          <w:marBottom w:val="0"/>
          <w:divBdr>
            <w:top w:val="none" w:sz="0" w:space="0" w:color="auto"/>
            <w:left w:val="none" w:sz="0" w:space="0" w:color="auto"/>
            <w:bottom w:val="none" w:sz="0" w:space="0" w:color="auto"/>
            <w:right w:val="none" w:sz="0" w:space="0" w:color="auto"/>
          </w:divBdr>
        </w:div>
      </w:divsChild>
    </w:div>
    <w:div w:id="14696740">
      <w:bodyDiv w:val="1"/>
      <w:marLeft w:val="0"/>
      <w:marRight w:val="0"/>
      <w:marTop w:val="0"/>
      <w:marBottom w:val="0"/>
      <w:divBdr>
        <w:top w:val="none" w:sz="0" w:space="0" w:color="auto"/>
        <w:left w:val="none" w:sz="0" w:space="0" w:color="auto"/>
        <w:bottom w:val="none" w:sz="0" w:space="0" w:color="auto"/>
        <w:right w:val="none" w:sz="0" w:space="0" w:color="auto"/>
      </w:divBdr>
    </w:div>
    <w:div w:id="23293119">
      <w:bodyDiv w:val="1"/>
      <w:marLeft w:val="0"/>
      <w:marRight w:val="0"/>
      <w:marTop w:val="0"/>
      <w:marBottom w:val="0"/>
      <w:divBdr>
        <w:top w:val="none" w:sz="0" w:space="0" w:color="auto"/>
        <w:left w:val="none" w:sz="0" w:space="0" w:color="auto"/>
        <w:bottom w:val="none" w:sz="0" w:space="0" w:color="auto"/>
        <w:right w:val="none" w:sz="0" w:space="0" w:color="auto"/>
      </w:divBdr>
    </w:div>
    <w:div w:id="24451367">
      <w:bodyDiv w:val="1"/>
      <w:marLeft w:val="0"/>
      <w:marRight w:val="0"/>
      <w:marTop w:val="0"/>
      <w:marBottom w:val="0"/>
      <w:divBdr>
        <w:top w:val="none" w:sz="0" w:space="0" w:color="auto"/>
        <w:left w:val="none" w:sz="0" w:space="0" w:color="auto"/>
        <w:bottom w:val="none" w:sz="0" w:space="0" w:color="auto"/>
        <w:right w:val="none" w:sz="0" w:space="0" w:color="auto"/>
      </w:divBdr>
    </w:div>
    <w:div w:id="27225681">
      <w:bodyDiv w:val="1"/>
      <w:marLeft w:val="0"/>
      <w:marRight w:val="0"/>
      <w:marTop w:val="0"/>
      <w:marBottom w:val="0"/>
      <w:divBdr>
        <w:top w:val="none" w:sz="0" w:space="0" w:color="auto"/>
        <w:left w:val="none" w:sz="0" w:space="0" w:color="auto"/>
        <w:bottom w:val="none" w:sz="0" w:space="0" w:color="auto"/>
        <w:right w:val="none" w:sz="0" w:space="0" w:color="auto"/>
      </w:divBdr>
    </w:div>
    <w:div w:id="29427918">
      <w:bodyDiv w:val="1"/>
      <w:marLeft w:val="0"/>
      <w:marRight w:val="0"/>
      <w:marTop w:val="0"/>
      <w:marBottom w:val="0"/>
      <w:divBdr>
        <w:top w:val="none" w:sz="0" w:space="0" w:color="auto"/>
        <w:left w:val="none" w:sz="0" w:space="0" w:color="auto"/>
        <w:bottom w:val="none" w:sz="0" w:space="0" w:color="auto"/>
        <w:right w:val="none" w:sz="0" w:space="0" w:color="auto"/>
      </w:divBdr>
    </w:div>
    <w:div w:id="31657668">
      <w:bodyDiv w:val="1"/>
      <w:marLeft w:val="0"/>
      <w:marRight w:val="0"/>
      <w:marTop w:val="0"/>
      <w:marBottom w:val="0"/>
      <w:divBdr>
        <w:top w:val="none" w:sz="0" w:space="0" w:color="auto"/>
        <w:left w:val="none" w:sz="0" w:space="0" w:color="auto"/>
        <w:bottom w:val="none" w:sz="0" w:space="0" w:color="auto"/>
        <w:right w:val="none" w:sz="0" w:space="0" w:color="auto"/>
      </w:divBdr>
    </w:div>
    <w:div w:id="37779967">
      <w:bodyDiv w:val="1"/>
      <w:marLeft w:val="0"/>
      <w:marRight w:val="0"/>
      <w:marTop w:val="0"/>
      <w:marBottom w:val="0"/>
      <w:divBdr>
        <w:top w:val="none" w:sz="0" w:space="0" w:color="auto"/>
        <w:left w:val="none" w:sz="0" w:space="0" w:color="auto"/>
        <w:bottom w:val="none" w:sz="0" w:space="0" w:color="auto"/>
        <w:right w:val="none" w:sz="0" w:space="0" w:color="auto"/>
      </w:divBdr>
    </w:div>
    <w:div w:id="49691414">
      <w:bodyDiv w:val="1"/>
      <w:marLeft w:val="0"/>
      <w:marRight w:val="0"/>
      <w:marTop w:val="0"/>
      <w:marBottom w:val="0"/>
      <w:divBdr>
        <w:top w:val="none" w:sz="0" w:space="0" w:color="auto"/>
        <w:left w:val="none" w:sz="0" w:space="0" w:color="auto"/>
        <w:bottom w:val="none" w:sz="0" w:space="0" w:color="auto"/>
        <w:right w:val="none" w:sz="0" w:space="0" w:color="auto"/>
      </w:divBdr>
    </w:div>
    <w:div w:id="52971283">
      <w:bodyDiv w:val="1"/>
      <w:marLeft w:val="0"/>
      <w:marRight w:val="0"/>
      <w:marTop w:val="0"/>
      <w:marBottom w:val="0"/>
      <w:divBdr>
        <w:top w:val="none" w:sz="0" w:space="0" w:color="auto"/>
        <w:left w:val="none" w:sz="0" w:space="0" w:color="auto"/>
        <w:bottom w:val="none" w:sz="0" w:space="0" w:color="auto"/>
        <w:right w:val="none" w:sz="0" w:space="0" w:color="auto"/>
      </w:divBdr>
      <w:divsChild>
        <w:div w:id="1142192253">
          <w:marLeft w:val="-720"/>
          <w:marRight w:val="0"/>
          <w:marTop w:val="0"/>
          <w:marBottom w:val="0"/>
          <w:divBdr>
            <w:top w:val="none" w:sz="0" w:space="0" w:color="auto"/>
            <w:left w:val="none" w:sz="0" w:space="0" w:color="auto"/>
            <w:bottom w:val="none" w:sz="0" w:space="0" w:color="auto"/>
            <w:right w:val="none" w:sz="0" w:space="0" w:color="auto"/>
          </w:divBdr>
        </w:div>
      </w:divsChild>
    </w:div>
    <w:div w:id="74523456">
      <w:bodyDiv w:val="1"/>
      <w:marLeft w:val="0"/>
      <w:marRight w:val="0"/>
      <w:marTop w:val="0"/>
      <w:marBottom w:val="0"/>
      <w:divBdr>
        <w:top w:val="none" w:sz="0" w:space="0" w:color="auto"/>
        <w:left w:val="none" w:sz="0" w:space="0" w:color="auto"/>
        <w:bottom w:val="none" w:sz="0" w:space="0" w:color="auto"/>
        <w:right w:val="none" w:sz="0" w:space="0" w:color="auto"/>
      </w:divBdr>
      <w:divsChild>
        <w:div w:id="1826966256">
          <w:marLeft w:val="0"/>
          <w:marRight w:val="0"/>
          <w:marTop w:val="0"/>
          <w:marBottom w:val="0"/>
          <w:divBdr>
            <w:top w:val="none" w:sz="0" w:space="0" w:color="auto"/>
            <w:left w:val="none" w:sz="0" w:space="0" w:color="auto"/>
            <w:bottom w:val="none" w:sz="0" w:space="0" w:color="auto"/>
            <w:right w:val="none" w:sz="0" w:space="0" w:color="auto"/>
          </w:divBdr>
          <w:divsChild>
            <w:div w:id="152562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5642">
      <w:bodyDiv w:val="1"/>
      <w:marLeft w:val="0"/>
      <w:marRight w:val="0"/>
      <w:marTop w:val="0"/>
      <w:marBottom w:val="0"/>
      <w:divBdr>
        <w:top w:val="none" w:sz="0" w:space="0" w:color="auto"/>
        <w:left w:val="none" w:sz="0" w:space="0" w:color="auto"/>
        <w:bottom w:val="none" w:sz="0" w:space="0" w:color="auto"/>
        <w:right w:val="none" w:sz="0" w:space="0" w:color="auto"/>
      </w:divBdr>
    </w:div>
    <w:div w:id="94524754">
      <w:bodyDiv w:val="1"/>
      <w:marLeft w:val="0"/>
      <w:marRight w:val="0"/>
      <w:marTop w:val="0"/>
      <w:marBottom w:val="0"/>
      <w:divBdr>
        <w:top w:val="none" w:sz="0" w:space="0" w:color="auto"/>
        <w:left w:val="none" w:sz="0" w:space="0" w:color="auto"/>
        <w:bottom w:val="none" w:sz="0" w:space="0" w:color="auto"/>
        <w:right w:val="none" w:sz="0" w:space="0" w:color="auto"/>
      </w:divBdr>
    </w:div>
    <w:div w:id="104929084">
      <w:bodyDiv w:val="1"/>
      <w:marLeft w:val="0"/>
      <w:marRight w:val="0"/>
      <w:marTop w:val="0"/>
      <w:marBottom w:val="0"/>
      <w:divBdr>
        <w:top w:val="none" w:sz="0" w:space="0" w:color="auto"/>
        <w:left w:val="none" w:sz="0" w:space="0" w:color="auto"/>
        <w:bottom w:val="none" w:sz="0" w:space="0" w:color="auto"/>
        <w:right w:val="none" w:sz="0" w:space="0" w:color="auto"/>
      </w:divBdr>
    </w:div>
    <w:div w:id="118037028">
      <w:bodyDiv w:val="1"/>
      <w:marLeft w:val="0"/>
      <w:marRight w:val="0"/>
      <w:marTop w:val="0"/>
      <w:marBottom w:val="0"/>
      <w:divBdr>
        <w:top w:val="none" w:sz="0" w:space="0" w:color="auto"/>
        <w:left w:val="none" w:sz="0" w:space="0" w:color="auto"/>
        <w:bottom w:val="none" w:sz="0" w:space="0" w:color="auto"/>
        <w:right w:val="none" w:sz="0" w:space="0" w:color="auto"/>
      </w:divBdr>
    </w:div>
    <w:div w:id="145174094">
      <w:bodyDiv w:val="1"/>
      <w:marLeft w:val="0"/>
      <w:marRight w:val="0"/>
      <w:marTop w:val="0"/>
      <w:marBottom w:val="0"/>
      <w:divBdr>
        <w:top w:val="none" w:sz="0" w:space="0" w:color="auto"/>
        <w:left w:val="none" w:sz="0" w:space="0" w:color="auto"/>
        <w:bottom w:val="none" w:sz="0" w:space="0" w:color="auto"/>
        <w:right w:val="none" w:sz="0" w:space="0" w:color="auto"/>
      </w:divBdr>
    </w:div>
    <w:div w:id="146240167">
      <w:bodyDiv w:val="1"/>
      <w:marLeft w:val="0"/>
      <w:marRight w:val="0"/>
      <w:marTop w:val="0"/>
      <w:marBottom w:val="0"/>
      <w:divBdr>
        <w:top w:val="none" w:sz="0" w:space="0" w:color="auto"/>
        <w:left w:val="none" w:sz="0" w:space="0" w:color="auto"/>
        <w:bottom w:val="none" w:sz="0" w:space="0" w:color="auto"/>
        <w:right w:val="none" w:sz="0" w:space="0" w:color="auto"/>
      </w:divBdr>
      <w:divsChild>
        <w:div w:id="221866216">
          <w:marLeft w:val="0"/>
          <w:marRight w:val="0"/>
          <w:marTop w:val="0"/>
          <w:marBottom w:val="0"/>
          <w:divBdr>
            <w:top w:val="none" w:sz="0" w:space="0" w:color="auto"/>
            <w:left w:val="none" w:sz="0" w:space="0" w:color="auto"/>
            <w:bottom w:val="none" w:sz="0" w:space="0" w:color="auto"/>
            <w:right w:val="none" w:sz="0" w:space="0" w:color="auto"/>
          </w:divBdr>
        </w:div>
        <w:div w:id="892472104">
          <w:marLeft w:val="0"/>
          <w:marRight w:val="0"/>
          <w:marTop w:val="0"/>
          <w:marBottom w:val="0"/>
          <w:divBdr>
            <w:top w:val="none" w:sz="0" w:space="0" w:color="auto"/>
            <w:left w:val="none" w:sz="0" w:space="0" w:color="auto"/>
            <w:bottom w:val="none" w:sz="0" w:space="0" w:color="auto"/>
            <w:right w:val="none" w:sz="0" w:space="0" w:color="auto"/>
          </w:divBdr>
        </w:div>
        <w:div w:id="1459375288">
          <w:marLeft w:val="0"/>
          <w:marRight w:val="0"/>
          <w:marTop w:val="0"/>
          <w:marBottom w:val="0"/>
          <w:divBdr>
            <w:top w:val="none" w:sz="0" w:space="0" w:color="auto"/>
            <w:left w:val="none" w:sz="0" w:space="0" w:color="auto"/>
            <w:bottom w:val="none" w:sz="0" w:space="0" w:color="auto"/>
            <w:right w:val="none" w:sz="0" w:space="0" w:color="auto"/>
          </w:divBdr>
        </w:div>
      </w:divsChild>
    </w:div>
    <w:div w:id="152068493">
      <w:bodyDiv w:val="1"/>
      <w:marLeft w:val="0"/>
      <w:marRight w:val="0"/>
      <w:marTop w:val="0"/>
      <w:marBottom w:val="0"/>
      <w:divBdr>
        <w:top w:val="none" w:sz="0" w:space="0" w:color="auto"/>
        <w:left w:val="none" w:sz="0" w:space="0" w:color="auto"/>
        <w:bottom w:val="none" w:sz="0" w:space="0" w:color="auto"/>
        <w:right w:val="none" w:sz="0" w:space="0" w:color="auto"/>
      </w:divBdr>
    </w:div>
    <w:div w:id="168184835">
      <w:bodyDiv w:val="1"/>
      <w:marLeft w:val="0"/>
      <w:marRight w:val="0"/>
      <w:marTop w:val="0"/>
      <w:marBottom w:val="0"/>
      <w:divBdr>
        <w:top w:val="none" w:sz="0" w:space="0" w:color="auto"/>
        <w:left w:val="none" w:sz="0" w:space="0" w:color="auto"/>
        <w:bottom w:val="none" w:sz="0" w:space="0" w:color="auto"/>
        <w:right w:val="none" w:sz="0" w:space="0" w:color="auto"/>
      </w:divBdr>
    </w:div>
    <w:div w:id="176046661">
      <w:bodyDiv w:val="1"/>
      <w:marLeft w:val="0"/>
      <w:marRight w:val="0"/>
      <w:marTop w:val="0"/>
      <w:marBottom w:val="0"/>
      <w:divBdr>
        <w:top w:val="none" w:sz="0" w:space="0" w:color="auto"/>
        <w:left w:val="none" w:sz="0" w:space="0" w:color="auto"/>
        <w:bottom w:val="none" w:sz="0" w:space="0" w:color="auto"/>
        <w:right w:val="none" w:sz="0" w:space="0" w:color="auto"/>
      </w:divBdr>
      <w:divsChild>
        <w:div w:id="1940259620">
          <w:marLeft w:val="-720"/>
          <w:marRight w:val="0"/>
          <w:marTop w:val="0"/>
          <w:marBottom w:val="0"/>
          <w:divBdr>
            <w:top w:val="none" w:sz="0" w:space="0" w:color="auto"/>
            <w:left w:val="none" w:sz="0" w:space="0" w:color="auto"/>
            <w:bottom w:val="none" w:sz="0" w:space="0" w:color="auto"/>
            <w:right w:val="none" w:sz="0" w:space="0" w:color="auto"/>
          </w:divBdr>
        </w:div>
      </w:divsChild>
    </w:div>
    <w:div w:id="178810941">
      <w:bodyDiv w:val="1"/>
      <w:marLeft w:val="0"/>
      <w:marRight w:val="0"/>
      <w:marTop w:val="0"/>
      <w:marBottom w:val="0"/>
      <w:divBdr>
        <w:top w:val="none" w:sz="0" w:space="0" w:color="auto"/>
        <w:left w:val="none" w:sz="0" w:space="0" w:color="auto"/>
        <w:bottom w:val="none" w:sz="0" w:space="0" w:color="auto"/>
        <w:right w:val="none" w:sz="0" w:space="0" w:color="auto"/>
      </w:divBdr>
    </w:div>
    <w:div w:id="186911721">
      <w:bodyDiv w:val="1"/>
      <w:marLeft w:val="0"/>
      <w:marRight w:val="0"/>
      <w:marTop w:val="0"/>
      <w:marBottom w:val="0"/>
      <w:divBdr>
        <w:top w:val="none" w:sz="0" w:space="0" w:color="auto"/>
        <w:left w:val="none" w:sz="0" w:space="0" w:color="auto"/>
        <w:bottom w:val="none" w:sz="0" w:space="0" w:color="auto"/>
        <w:right w:val="none" w:sz="0" w:space="0" w:color="auto"/>
      </w:divBdr>
    </w:div>
    <w:div w:id="189684578">
      <w:bodyDiv w:val="1"/>
      <w:marLeft w:val="0"/>
      <w:marRight w:val="0"/>
      <w:marTop w:val="0"/>
      <w:marBottom w:val="0"/>
      <w:divBdr>
        <w:top w:val="none" w:sz="0" w:space="0" w:color="auto"/>
        <w:left w:val="none" w:sz="0" w:space="0" w:color="auto"/>
        <w:bottom w:val="none" w:sz="0" w:space="0" w:color="auto"/>
        <w:right w:val="none" w:sz="0" w:space="0" w:color="auto"/>
      </w:divBdr>
    </w:div>
    <w:div w:id="207685353">
      <w:bodyDiv w:val="1"/>
      <w:marLeft w:val="0"/>
      <w:marRight w:val="0"/>
      <w:marTop w:val="0"/>
      <w:marBottom w:val="0"/>
      <w:divBdr>
        <w:top w:val="none" w:sz="0" w:space="0" w:color="auto"/>
        <w:left w:val="none" w:sz="0" w:space="0" w:color="auto"/>
        <w:bottom w:val="none" w:sz="0" w:space="0" w:color="auto"/>
        <w:right w:val="none" w:sz="0" w:space="0" w:color="auto"/>
      </w:divBdr>
    </w:div>
    <w:div w:id="208961409">
      <w:bodyDiv w:val="1"/>
      <w:marLeft w:val="0"/>
      <w:marRight w:val="0"/>
      <w:marTop w:val="0"/>
      <w:marBottom w:val="0"/>
      <w:divBdr>
        <w:top w:val="none" w:sz="0" w:space="0" w:color="auto"/>
        <w:left w:val="none" w:sz="0" w:space="0" w:color="auto"/>
        <w:bottom w:val="none" w:sz="0" w:space="0" w:color="auto"/>
        <w:right w:val="none" w:sz="0" w:space="0" w:color="auto"/>
      </w:divBdr>
    </w:div>
    <w:div w:id="215968865">
      <w:bodyDiv w:val="1"/>
      <w:marLeft w:val="0"/>
      <w:marRight w:val="0"/>
      <w:marTop w:val="0"/>
      <w:marBottom w:val="0"/>
      <w:divBdr>
        <w:top w:val="none" w:sz="0" w:space="0" w:color="auto"/>
        <w:left w:val="none" w:sz="0" w:space="0" w:color="auto"/>
        <w:bottom w:val="none" w:sz="0" w:space="0" w:color="auto"/>
        <w:right w:val="none" w:sz="0" w:space="0" w:color="auto"/>
      </w:divBdr>
    </w:div>
    <w:div w:id="228730222">
      <w:bodyDiv w:val="1"/>
      <w:marLeft w:val="0"/>
      <w:marRight w:val="0"/>
      <w:marTop w:val="0"/>
      <w:marBottom w:val="0"/>
      <w:divBdr>
        <w:top w:val="none" w:sz="0" w:space="0" w:color="auto"/>
        <w:left w:val="none" w:sz="0" w:space="0" w:color="auto"/>
        <w:bottom w:val="none" w:sz="0" w:space="0" w:color="auto"/>
        <w:right w:val="none" w:sz="0" w:space="0" w:color="auto"/>
      </w:divBdr>
    </w:div>
    <w:div w:id="244264598">
      <w:bodyDiv w:val="1"/>
      <w:marLeft w:val="0"/>
      <w:marRight w:val="0"/>
      <w:marTop w:val="0"/>
      <w:marBottom w:val="0"/>
      <w:divBdr>
        <w:top w:val="none" w:sz="0" w:space="0" w:color="auto"/>
        <w:left w:val="none" w:sz="0" w:space="0" w:color="auto"/>
        <w:bottom w:val="none" w:sz="0" w:space="0" w:color="auto"/>
        <w:right w:val="none" w:sz="0" w:space="0" w:color="auto"/>
      </w:divBdr>
    </w:div>
    <w:div w:id="246154486">
      <w:bodyDiv w:val="1"/>
      <w:marLeft w:val="0"/>
      <w:marRight w:val="0"/>
      <w:marTop w:val="0"/>
      <w:marBottom w:val="0"/>
      <w:divBdr>
        <w:top w:val="none" w:sz="0" w:space="0" w:color="auto"/>
        <w:left w:val="none" w:sz="0" w:space="0" w:color="auto"/>
        <w:bottom w:val="none" w:sz="0" w:space="0" w:color="auto"/>
        <w:right w:val="none" w:sz="0" w:space="0" w:color="auto"/>
      </w:divBdr>
    </w:div>
    <w:div w:id="269821131">
      <w:bodyDiv w:val="1"/>
      <w:marLeft w:val="0"/>
      <w:marRight w:val="0"/>
      <w:marTop w:val="0"/>
      <w:marBottom w:val="0"/>
      <w:divBdr>
        <w:top w:val="none" w:sz="0" w:space="0" w:color="auto"/>
        <w:left w:val="none" w:sz="0" w:space="0" w:color="auto"/>
        <w:bottom w:val="none" w:sz="0" w:space="0" w:color="auto"/>
        <w:right w:val="none" w:sz="0" w:space="0" w:color="auto"/>
      </w:divBdr>
    </w:div>
    <w:div w:id="270669753">
      <w:bodyDiv w:val="1"/>
      <w:marLeft w:val="0"/>
      <w:marRight w:val="0"/>
      <w:marTop w:val="0"/>
      <w:marBottom w:val="0"/>
      <w:divBdr>
        <w:top w:val="none" w:sz="0" w:space="0" w:color="auto"/>
        <w:left w:val="none" w:sz="0" w:space="0" w:color="auto"/>
        <w:bottom w:val="none" w:sz="0" w:space="0" w:color="auto"/>
        <w:right w:val="none" w:sz="0" w:space="0" w:color="auto"/>
      </w:divBdr>
      <w:divsChild>
        <w:div w:id="245237981">
          <w:marLeft w:val="0"/>
          <w:marRight w:val="0"/>
          <w:marTop w:val="120"/>
          <w:marBottom w:val="0"/>
          <w:divBdr>
            <w:top w:val="none" w:sz="0" w:space="0" w:color="auto"/>
            <w:left w:val="none" w:sz="0" w:space="0" w:color="auto"/>
            <w:bottom w:val="none" w:sz="0" w:space="0" w:color="auto"/>
            <w:right w:val="none" w:sz="0" w:space="0" w:color="auto"/>
          </w:divBdr>
          <w:divsChild>
            <w:div w:id="12720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16948">
      <w:bodyDiv w:val="1"/>
      <w:marLeft w:val="0"/>
      <w:marRight w:val="0"/>
      <w:marTop w:val="0"/>
      <w:marBottom w:val="0"/>
      <w:divBdr>
        <w:top w:val="none" w:sz="0" w:space="0" w:color="auto"/>
        <w:left w:val="none" w:sz="0" w:space="0" w:color="auto"/>
        <w:bottom w:val="none" w:sz="0" w:space="0" w:color="auto"/>
        <w:right w:val="none" w:sz="0" w:space="0" w:color="auto"/>
      </w:divBdr>
    </w:div>
    <w:div w:id="287854961">
      <w:bodyDiv w:val="1"/>
      <w:marLeft w:val="0"/>
      <w:marRight w:val="0"/>
      <w:marTop w:val="0"/>
      <w:marBottom w:val="0"/>
      <w:divBdr>
        <w:top w:val="none" w:sz="0" w:space="0" w:color="auto"/>
        <w:left w:val="none" w:sz="0" w:space="0" w:color="auto"/>
        <w:bottom w:val="none" w:sz="0" w:space="0" w:color="auto"/>
        <w:right w:val="none" w:sz="0" w:space="0" w:color="auto"/>
      </w:divBdr>
    </w:div>
    <w:div w:id="293021095">
      <w:bodyDiv w:val="1"/>
      <w:marLeft w:val="0"/>
      <w:marRight w:val="0"/>
      <w:marTop w:val="0"/>
      <w:marBottom w:val="0"/>
      <w:divBdr>
        <w:top w:val="none" w:sz="0" w:space="0" w:color="auto"/>
        <w:left w:val="none" w:sz="0" w:space="0" w:color="auto"/>
        <w:bottom w:val="none" w:sz="0" w:space="0" w:color="auto"/>
        <w:right w:val="none" w:sz="0" w:space="0" w:color="auto"/>
      </w:divBdr>
    </w:div>
    <w:div w:id="297225460">
      <w:bodyDiv w:val="1"/>
      <w:marLeft w:val="0"/>
      <w:marRight w:val="0"/>
      <w:marTop w:val="0"/>
      <w:marBottom w:val="0"/>
      <w:divBdr>
        <w:top w:val="none" w:sz="0" w:space="0" w:color="auto"/>
        <w:left w:val="none" w:sz="0" w:space="0" w:color="auto"/>
        <w:bottom w:val="none" w:sz="0" w:space="0" w:color="auto"/>
        <w:right w:val="none" w:sz="0" w:space="0" w:color="auto"/>
      </w:divBdr>
      <w:divsChild>
        <w:div w:id="817921435">
          <w:marLeft w:val="0"/>
          <w:marRight w:val="0"/>
          <w:marTop w:val="0"/>
          <w:marBottom w:val="0"/>
          <w:divBdr>
            <w:top w:val="none" w:sz="0" w:space="0" w:color="auto"/>
            <w:left w:val="none" w:sz="0" w:space="0" w:color="auto"/>
            <w:bottom w:val="none" w:sz="0" w:space="0" w:color="auto"/>
            <w:right w:val="none" w:sz="0" w:space="0" w:color="auto"/>
          </w:divBdr>
        </w:div>
        <w:div w:id="1079254455">
          <w:marLeft w:val="0"/>
          <w:marRight w:val="0"/>
          <w:marTop w:val="0"/>
          <w:marBottom w:val="0"/>
          <w:divBdr>
            <w:top w:val="none" w:sz="0" w:space="0" w:color="auto"/>
            <w:left w:val="none" w:sz="0" w:space="0" w:color="auto"/>
            <w:bottom w:val="none" w:sz="0" w:space="0" w:color="auto"/>
            <w:right w:val="none" w:sz="0" w:space="0" w:color="auto"/>
          </w:divBdr>
        </w:div>
        <w:div w:id="1230767482">
          <w:marLeft w:val="0"/>
          <w:marRight w:val="0"/>
          <w:marTop w:val="0"/>
          <w:marBottom w:val="0"/>
          <w:divBdr>
            <w:top w:val="none" w:sz="0" w:space="0" w:color="auto"/>
            <w:left w:val="none" w:sz="0" w:space="0" w:color="auto"/>
            <w:bottom w:val="none" w:sz="0" w:space="0" w:color="auto"/>
            <w:right w:val="none" w:sz="0" w:space="0" w:color="auto"/>
          </w:divBdr>
        </w:div>
      </w:divsChild>
    </w:div>
    <w:div w:id="298846122">
      <w:bodyDiv w:val="1"/>
      <w:marLeft w:val="0"/>
      <w:marRight w:val="0"/>
      <w:marTop w:val="0"/>
      <w:marBottom w:val="0"/>
      <w:divBdr>
        <w:top w:val="none" w:sz="0" w:space="0" w:color="auto"/>
        <w:left w:val="none" w:sz="0" w:space="0" w:color="auto"/>
        <w:bottom w:val="none" w:sz="0" w:space="0" w:color="auto"/>
        <w:right w:val="none" w:sz="0" w:space="0" w:color="auto"/>
      </w:divBdr>
    </w:div>
    <w:div w:id="304285063">
      <w:bodyDiv w:val="1"/>
      <w:marLeft w:val="0"/>
      <w:marRight w:val="0"/>
      <w:marTop w:val="0"/>
      <w:marBottom w:val="0"/>
      <w:divBdr>
        <w:top w:val="none" w:sz="0" w:space="0" w:color="auto"/>
        <w:left w:val="none" w:sz="0" w:space="0" w:color="auto"/>
        <w:bottom w:val="none" w:sz="0" w:space="0" w:color="auto"/>
        <w:right w:val="none" w:sz="0" w:space="0" w:color="auto"/>
      </w:divBdr>
    </w:div>
    <w:div w:id="307630976">
      <w:bodyDiv w:val="1"/>
      <w:marLeft w:val="0"/>
      <w:marRight w:val="0"/>
      <w:marTop w:val="0"/>
      <w:marBottom w:val="0"/>
      <w:divBdr>
        <w:top w:val="none" w:sz="0" w:space="0" w:color="auto"/>
        <w:left w:val="none" w:sz="0" w:space="0" w:color="auto"/>
        <w:bottom w:val="none" w:sz="0" w:space="0" w:color="auto"/>
        <w:right w:val="none" w:sz="0" w:space="0" w:color="auto"/>
      </w:divBdr>
    </w:div>
    <w:div w:id="327291146">
      <w:bodyDiv w:val="1"/>
      <w:marLeft w:val="0"/>
      <w:marRight w:val="0"/>
      <w:marTop w:val="0"/>
      <w:marBottom w:val="0"/>
      <w:divBdr>
        <w:top w:val="none" w:sz="0" w:space="0" w:color="auto"/>
        <w:left w:val="none" w:sz="0" w:space="0" w:color="auto"/>
        <w:bottom w:val="none" w:sz="0" w:space="0" w:color="auto"/>
        <w:right w:val="none" w:sz="0" w:space="0" w:color="auto"/>
      </w:divBdr>
    </w:div>
    <w:div w:id="330526951">
      <w:bodyDiv w:val="1"/>
      <w:marLeft w:val="0"/>
      <w:marRight w:val="0"/>
      <w:marTop w:val="0"/>
      <w:marBottom w:val="0"/>
      <w:divBdr>
        <w:top w:val="none" w:sz="0" w:space="0" w:color="auto"/>
        <w:left w:val="none" w:sz="0" w:space="0" w:color="auto"/>
        <w:bottom w:val="none" w:sz="0" w:space="0" w:color="auto"/>
        <w:right w:val="none" w:sz="0" w:space="0" w:color="auto"/>
      </w:divBdr>
    </w:div>
    <w:div w:id="363795072">
      <w:bodyDiv w:val="1"/>
      <w:marLeft w:val="0"/>
      <w:marRight w:val="0"/>
      <w:marTop w:val="0"/>
      <w:marBottom w:val="0"/>
      <w:divBdr>
        <w:top w:val="none" w:sz="0" w:space="0" w:color="auto"/>
        <w:left w:val="none" w:sz="0" w:space="0" w:color="auto"/>
        <w:bottom w:val="none" w:sz="0" w:space="0" w:color="auto"/>
        <w:right w:val="none" w:sz="0" w:space="0" w:color="auto"/>
      </w:divBdr>
    </w:div>
    <w:div w:id="364446641">
      <w:bodyDiv w:val="1"/>
      <w:marLeft w:val="0"/>
      <w:marRight w:val="0"/>
      <w:marTop w:val="0"/>
      <w:marBottom w:val="0"/>
      <w:divBdr>
        <w:top w:val="none" w:sz="0" w:space="0" w:color="auto"/>
        <w:left w:val="none" w:sz="0" w:space="0" w:color="auto"/>
        <w:bottom w:val="none" w:sz="0" w:space="0" w:color="auto"/>
        <w:right w:val="none" w:sz="0" w:space="0" w:color="auto"/>
      </w:divBdr>
    </w:div>
    <w:div w:id="377052835">
      <w:bodyDiv w:val="1"/>
      <w:marLeft w:val="0"/>
      <w:marRight w:val="0"/>
      <w:marTop w:val="0"/>
      <w:marBottom w:val="0"/>
      <w:divBdr>
        <w:top w:val="none" w:sz="0" w:space="0" w:color="auto"/>
        <w:left w:val="none" w:sz="0" w:space="0" w:color="auto"/>
        <w:bottom w:val="none" w:sz="0" w:space="0" w:color="auto"/>
        <w:right w:val="none" w:sz="0" w:space="0" w:color="auto"/>
      </w:divBdr>
    </w:div>
    <w:div w:id="381028548">
      <w:bodyDiv w:val="1"/>
      <w:marLeft w:val="0"/>
      <w:marRight w:val="0"/>
      <w:marTop w:val="0"/>
      <w:marBottom w:val="0"/>
      <w:divBdr>
        <w:top w:val="none" w:sz="0" w:space="0" w:color="auto"/>
        <w:left w:val="none" w:sz="0" w:space="0" w:color="auto"/>
        <w:bottom w:val="none" w:sz="0" w:space="0" w:color="auto"/>
        <w:right w:val="none" w:sz="0" w:space="0" w:color="auto"/>
      </w:divBdr>
    </w:div>
    <w:div w:id="381901212">
      <w:bodyDiv w:val="1"/>
      <w:marLeft w:val="0"/>
      <w:marRight w:val="0"/>
      <w:marTop w:val="0"/>
      <w:marBottom w:val="0"/>
      <w:divBdr>
        <w:top w:val="none" w:sz="0" w:space="0" w:color="auto"/>
        <w:left w:val="none" w:sz="0" w:space="0" w:color="auto"/>
        <w:bottom w:val="none" w:sz="0" w:space="0" w:color="auto"/>
        <w:right w:val="none" w:sz="0" w:space="0" w:color="auto"/>
      </w:divBdr>
    </w:div>
    <w:div w:id="396050862">
      <w:bodyDiv w:val="1"/>
      <w:marLeft w:val="0"/>
      <w:marRight w:val="0"/>
      <w:marTop w:val="0"/>
      <w:marBottom w:val="0"/>
      <w:divBdr>
        <w:top w:val="none" w:sz="0" w:space="0" w:color="auto"/>
        <w:left w:val="none" w:sz="0" w:space="0" w:color="auto"/>
        <w:bottom w:val="none" w:sz="0" w:space="0" w:color="auto"/>
        <w:right w:val="none" w:sz="0" w:space="0" w:color="auto"/>
      </w:divBdr>
    </w:div>
    <w:div w:id="398477775">
      <w:bodyDiv w:val="1"/>
      <w:marLeft w:val="0"/>
      <w:marRight w:val="0"/>
      <w:marTop w:val="0"/>
      <w:marBottom w:val="0"/>
      <w:divBdr>
        <w:top w:val="none" w:sz="0" w:space="0" w:color="auto"/>
        <w:left w:val="none" w:sz="0" w:space="0" w:color="auto"/>
        <w:bottom w:val="none" w:sz="0" w:space="0" w:color="auto"/>
        <w:right w:val="none" w:sz="0" w:space="0" w:color="auto"/>
      </w:divBdr>
      <w:divsChild>
        <w:div w:id="2142842217">
          <w:marLeft w:val="-720"/>
          <w:marRight w:val="0"/>
          <w:marTop w:val="0"/>
          <w:marBottom w:val="0"/>
          <w:divBdr>
            <w:top w:val="none" w:sz="0" w:space="0" w:color="auto"/>
            <w:left w:val="none" w:sz="0" w:space="0" w:color="auto"/>
            <w:bottom w:val="none" w:sz="0" w:space="0" w:color="auto"/>
            <w:right w:val="none" w:sz="0" w:space="0" w:color="auto"/>
          </w:divBdr>
        </w:div>
      </w:divsChild>
    </w:div>
    <w:div w:id="402214455">
      <w:bodyDiv w:val="1"/>
      <w:marLeft w:val="0"/>
      <w:marRight w:val="0"/>
      <w:marTop w:val="0"/>
      <w:marBottom w:val="0"/>
      <w:divBdr>
        <w:top w:val="none" w:sz="0" w:space="0" w:color="auto"/>
        <w:left w:val="none" w:sz="0" w:space="0" w:color="auto"/>
        <w:bottom w:val="none" w:sz="0" w:space="0" w:color="auto"/>
        <w:right w:val="none" w:sz="0" w:space="0" w:color="auto"/>
      </w:divBdr>
    </w:div>
    <w:div w:id="410085480">
      <w:bodyDiv w:val="1"/>
      <w:marLeft w:val="0"/>
      <w:marRight w:val="0"/>
      <w:marTop w:val="0"/>
      <w:marBottom w:val="0"/>
      <w:divBdr>
        <w:top w:val="none" w:sz="0" w:space="0" w:color="auto"/>
        <w:left w:val="none" w:sz="0" w:space="0" w:color="auto"/>
        <w:bottom w:val="none" w:sz="0" w:space="0" w:color="auto"/>
        <w:right w:val="none" w:sz="0" w:space="0" w:color="auto"/>
      </w:divBdr>
    </w:div>
    <w:div w:id="430706129">
      <w:bodyDiv w:val="1"/>
      <w:marLeft w:val="0"/>
      <w:marRight w:val="0"/>
      <w:marTop w:val="0"/>
      <w:marBottom w:val="0"/>
      <w:divBdr>
        <w:top w:val="none" w:sz="0" w:space="0" w:color="auto"/>
        <w:left w:val="none" w:sz="0" w:space="0" w:color="auto"/>
        <w:bottom w:val="none" w:sz="0" w:space="0" w:color="auto"/>
        <w:right w:val="none" w:sz="0" w:space="0" w:color="auto"/>
      </w:divBdr>
    </w:div>
    <w:div w:id="431097211">
      <w:bodyDiv w:val="1"/>
      <w:marLeft w:val="0"/>
      <w:marRight w:val="0"/>
      <w:marTop w:val="0"/>
      <w:marBottom w:val="0"/>
      <w:divBdr>
        <w:top w:val="none" w:sz="0" w:space="0" w:color="auto"/>
        <w:left w:val="none" w:sz="0" w:space="0" w:color="auto"/>
        <w:bottom w:val="none" w:sz="0" w:space="0" w:color="auto"/>
        <w:right w:val="none" w:sz="0" w:space="0" w:color="auto"/>
      </w:divBdr>
      <w:divsChild>
        <w:div w:id="620261859">
          <w:marLeft w:val="0"/>
          <w:marRight w:val="0"/>
          <w:marTop w:val="0"/>
          <w:marBottom w:val="0"/>
          <w:divBdr>
            <w:top w:val="none" w:sz="0" w:space="0" w:color="auto"/>
            <w:left w:val="none" w:sz="0" w:space="0" w:color="auto"/>
            <w:bottom w:val="none" w:sz="0" w:space="0" w:color="auto"/>
            <w:right w:val="none" w:sz="0" w:space="0" w:color="auto"/>
          </w:divBdr>
        </w:div>
        <w:div w:id="964232883">
          <w:marLeft w:val="0"/>
          <w:marRight w:val="0"/>
          <w:marTop w:val="0"/>
          <w:marBottom w:val="0"/>
          <w:divBdr>
            <w:top w:val="none" w:sz="0" w:space="0" w:color="auto"/>
            <w:left w:val="none" w:sz="0" w:space="0" w:color="auto"/>
            <w:bottom w:val="none" w:sz="0" w:space="0" w:color="auto"/>
            <w:right w:val="none" w:sz="0" w:space="0" w:color="auto"/>
          </w:divBdr>
        </w:div>
        <w:div w:id="1216890625">
          <w:marLeft w:val="0"/>
          <w:marRight w:val="0"/>
          <w:marTop w:val="0"/>
          <w:marBottom w:val="0"/>
          <w:divBdr>
            <w:top w:val="none" w:sz="0" w:space="0" w:color="auto"/>
            <w:left w:val="none" w:sz="0" w:space="0" w:color="auto"/>
            <w:bottom w:val="none" w:sz="0" w:space="0" w:color="auto"/>
            <w:right w:val="none" w:sz="0" w:space="0" w:color="auto"/>
          </w:divBdr>
        </w:div>
      </w:divsChild>
    </w:div>
    <w:div w:id="432550992">
      <w:bodyDiv w:val="1"/>
      <w:marLeft w:val="0"/>
      <w:marRight w:val="0"/>
      <w:marTop w:val="0"/>
      <w:marBottom w:val="0"/>
      <w:divBdr>
        <w:top w:val="none" w:sz="0" w:space="0" w:color="auto"/>
        <w:left w:val="none" w:sz="0" w:space="0" w:color="auto"/>
        <w:bottom w:val="none" w:sz="0" w:space="0" w:color="auto"/>
        <w:right w:val="none" w:sz="0" w:space="0" w:color="auto"/>
      </w:divBdr>
    </w:div>
    <w:div w:id="441611881">
      <w:bodyDiv w:val="1"/>
      <w:marLeft w:val="0"/>
      <w:marRight w:val="0"/>
      <w:marTop w:val="0"/>
      <w:marBottom w:val="0"/>
      <w:divBdr>
        <w:top w:val="none" w:sz="0" w:space="0" w:color="auto"/>
        <w:left w:val="none" w:sz="0" w:space="0" w:color="auto"/>
        <w:bottom w:val="none" w:sz="0" w:space="0" w:color="auto"/>
        <w:right w:val="none" w:sz="0" w:space="0" w:color="auto"/>
      </w:divBdr>
    </w:div>
    <w:div w:id="453182870">
      <w:bodyDiv w:val="1"/>
      <w:marLeft w:val="0"/>
      <w:marRight w:val="0"/>
      <w:marTop w:val="0"/>
      <w:marBottom w:val="0"/>
      <w:divBdr>
        <w:top w:val="none" w:sz="0" w:space="0" w:color="auto"/>
        <w:left w:val="none" w:sz="0" w:space="0" w:color="auto"/>
        <w:bottom w:val="none" w:sz="0" w:space="0" w:color="auto"/>
        <w:right w:val="none" w:sz="0" w:space="0" w:color="auto"/>
      </w:divBdr>
    </w:div>
    <w:div w:id="455299703">
      <w:bodyDiv w:val="1"/>
      <w:marLeft w:val="0"/>
      <w:marRight w:val="0"/>
      <w:marTop w:val="0"/>
      <w:marBottom w:val="0"/>
      <w:divBdr>
        <w:top w:val="none" w:sz="0" w:space="0" w:color="auto"/>
        <w:left w:val="none" w:sz="0" w:space="0" w:color="auto"/>
        <w:bottom w:val="none" w:sz="0" w:space="0" w:color="auto"/>
        <w:right w:val="none" w:sz="0" w:space="0" w:color="auto"/>
      </w:divBdr>
    </w:div>
    <w:div w:id="458181454">
      <w:bodyDiv w:val="1"/>
      <w:marLeft w:val="0"/>
      <w:marRight w:val="0"/>
      <w:marTop w:val="0"/>
      <w:marBottom w:val="0"/>
      <w:divBdr>
        <w:top w:val="none" w:sz="0" w:space="0" w:color="auto"/>
        <w:left w:val="none" w:sz="0" w:space="0" w:color="auto"/>
        <w:bottom w:val="none" w:sz="0" w:space="0" w:color="auto"/>
        <w:right w:val="none" w:sz="0" w:space="0" w:color="auto"/>
      </w:divBdr>
    </w:div>
    <w:div w:id="460878727">
      <w:bodyDiv w:val="1"/>
      <w:marLeft w:val="0"/>
      <w:marRight w:val="0"/>
      <w:marTop w:val="0"/>
      <w:marBottom w:val="0"/>
      <w:divBdr>
        <w:top w:val="none" w:sz="0" w:space="0" w:color="auto"/>
        <w:left w:val="none" w:sz="0" w:space="0" w:color="auto"/>
        <w:bottom w:val="none" w:sz="0" w:space="0" w:color="auto"/>
        <w:right w:val="none" w:sz="0" w:space="0" w:color="auto"/>
      </w:divBdr>
    </w:div>
    <w:div w:id="464008378">
      <w:bodyDiv w:val="1"/>
      <w:marLeft w:val="0"/>
      <w:marRight w:val="0"/>
      <w:marTop w:val="0"/>
      <w:marBottom w:val="0"/>
      <w:divBdr>
        <w:top w:val="none" w:sz="0" w:space="0" w:color="auto"/>
        <w:left w:val="none" w:sz="0" w:space="0" w:color="auto"/>
        <w:bottom w:val="none" w:sz="0" w:space="0" w:color="auto"/>
        <w:right w:val="none" w:sz="0" w:space="0" w:color="auto"/>
      </w:divBdr>
    </w:div>
    <w:div w:id="469372697">
      <w:bodyDiv w:val="1"/>
      <w:marLeft w:val="0"/>
      <w:marRight w:val="0"/>
      <w:marTop w:val="0"/>
      <w:marBottom w:val="0"/>
      <w:divBdr>
        <w:top w:val="none" w:sz="0" w:space="0" w:color="auto"/>
        <w:left w:val="none" w:sz="0" w:space="0" w:color="auto"/>
        <w:bottom w:val="none" w:sz="0" w:space="0" w:color="auto"/>
        <w:right w:val="none" w:sz="0" w:space="0" w:color="auto"/>
      </w:divBdr>
    </w:div>
    <w:div w:id="476650493">
      <w:bodyDiv w:val="1"/>
      <w:marLeft w:val="0"/>
      <w:marRight w:val="0"/>
      <w:marTop w:val="0"/>
      <w:marBottom w:val="0"/>
      <w:divBdr>
        <w:top w:val="none" w:sz="0" w:space="0" w:color="auto"/>
        <w:left w:val="none" w:sz="0" w:space="0" w:color="auto"/>
        <w:bottom w:val="none" w:sz="0" w:space="0" w:color="auto"/>
        <w:right w:val="none" w:sz="0" w:space="0" w:color="auto"/>
      </w:divBdr>
      <w:divsChild>
        <w:div w:id="1628123243">
          <w:marLeft w:val="-720"/>
          <w:marRight w:val="0"/>
          <w:marTop w:val="0"/>
          <w:marBottom w:val="0"/>
          <w:divBdr>
            <w:top w:val="none" w:sz="0" w:space="0" w:color="auto"/>
            <w:left w:val="none" w:sz="0" w:space="0" w:color="auto"/>
            <w:bottom w:val="none" w:sz="0" w:space="0" w:color="auto"/>
            <w:right w:val="none" w:sz="0" w:space="0" w:color="auto"/>
          </w:divBdr>
        </w:div>
      </w:divsChild>
    </w:div>
    <w:div w:id="478614948">
      <w:bodyDiv w:val="1"/>
      <w:marLeft w:val="0"/>
      <w:marRight w:val="0"/>
      <w:marTop w:val="0"/>
      <w:marBottom w:val="0"/>
      <w:divBdr>
        <w:top w:val="none" w:sz="0" w:space="0" w:color="auto"/>
        <w:left w:val="none" w:sz="0" w:space="0" w:color="auto"/>
        <w:bottom w:val="none" w:sz="0" w:space="0" w:color="auto"/>
        <w:right w:val="none" w:sz="0" w:space="0" w:color="auto"/>
      </w:divBdr>
    </w:div>
    <w:div w:id="494415827">
      <w:bodyDiv w:val="1"/>
      <w:marLeft w:val="0"/>
      <w:marRight w:val="0"/>
      <w:marTop w:val="0"/>
      <w:marBottom w:val="0"/>
      <w:divBdr>
        <w:top w:val="none" w:sz="0" w:space="0" w:color="auto"/>
        <w:left w:val="none" w:sz="0" w:space="0" w:color="auto"/>
        <w:bottom w:val="none" w:sz="0" w:space="0" w:color="auto"/>
        <w:right w:val="none" w:sz="0" w:space="0" w:color="auto"/>
      </w:divBdr>
    </w:div>
    <w:div w:id="501704552">
      <w:bodyDiv w:val="1"/>
      <w:marLeft w:val="0"/>
      <w:marRight w:val="0"/>
      <w:marTop w:val="0"/>
      <w:marBottom w:val="0"/>
      <w:divBdr>
        <w:top w:val="none" w:sz="0" w:space="0" w:color="auto"/>
        <w:left w:val="none" w:sz="0" w:space="0" w:color="auto"/>
        <w:bottom w:val="none" w:sz="0" w:space="0" w:color="auto"/>
        <w:right w:val="none" w:sz="0" w:space="0" w:color="auto"/>
      </w:divBdr>
    </w:div>
    <w:div w:id="507528345">
      <w:bodyDiv w:val="1"/>
      <w:marLeft w:val="0"/>
      <w:marRight w:val="0"/>
      <w:marTop w:val="0"/>
      <w:marBottom w:val="0"/>
      <w:divBdr>
        <w:top w:val="none" w:sz="0" w:space="0" w:color="auto"/>
        <w:left w:val="none" w:sz="0" w:space="0" w:color="auto"/>
        <w:bottom w:val="none" w:sz="0" w:space="0" w:color="auto"/>
        <w:right w:val="none" w:sz="0" w:space="0" w:color="auto"/>
      </w:divBdr>
    </w:div>
    <w:div w:id="508326571">
      <w:bodyDiv w:val="1"/>
      <w:marLeft w:val="0"/>
      <w:marRight w:val="0"/>
      <w:marTop w:val="0"/>
      <w:marBottom w:val="0"/>
      <w:divBdr>
        <w:top w:val="none" w:sz="0" w:space="0" w:color="auto"/>
        <w:left w:val="none" w:sz="0" w:space="0" w:color="auto"/>
        <w:bottom w:val="none" w:sz="0" w:space="0" w:color="auto"/>
        <w:right w:val="none" w:sz="0" w:space="0" w:color="auto"/>
      </w:divBdr>
    </w:div>
    <w:div w:id="528378209">
      <w:bodyDiv w:val="1"/>
      <w:marLeft w:val="0"/>
      <w:marRight w:val="0"/>
      <w:marTop w:val="0"/>
      <w:marBottom w:val="0"/>
      <w:divBdr>
        <w:top w:val="none" w:sz="0" w:space="0" w:color="auto"/>
        <w:left w:val="none" w:sz="0" w:space="0" w:color="auto"/>
        <w:bottom w:val="none" w:sz="0" w:space="0" w:color="auto"/>
        <w:right w:val="none" w:sz="0" w:space="0" w:color="auto"/>
      </w:divBdr>
    </w:div>
    <w:div w:id="530919780">
      <w:bodyDiv w:val="1"/>
      <w:marLeft w:val="0"/>
      <w:marRight w:val="0"/>
      <w:marTop w:val="0"/>
      <w:marBottom w:val="0"/>
      <w:divBdr>
        <w:top w:val="none" w:sz="0" w:space="0" w:color="auto"/>
        <w:left w:val="none" w:sz="0" w:space="0" w:color="auto"/>
        <w:bottom w:val="none" w:sz="0" w:space="0" w:color="auto"/>
        <w:right w:val="none" w:sz="0" w:space="0" w:color="auto"/>
      </w:divBdr>
    </w:div>
    <w:div w:id="540628541">
      <w:bodyDiv w:val="1"/>
      <w:marLeft w:val="0"/>
      <w:marRight w:val="0"/>
      <w:marTop w:val="0"/>
      <w:marBottom w:val="0"/>
      <w:divBdr>
        <w:top w:val="none" w:sz="0" w:space="0" w:color="auto"/>
        <w:left w:val="none" w:sz="0" w:space="0" w:color="auto"/>
        <w:bottom w:val="none" w:sz="0" w:space="0" w:color="auto"/>
        <w:right w:val="none" w:sz="0" w:space="0" w:color="auto"/>
      </w:divBdr>
    </w:div>
    <w:div w:id="554124773">
      <w:bodyDiv w:val="1"/>
      <w:marLeft w:val="0"/>
      <w:marRight w:val="0"/>
      <w:marTop w:val="0"/>
      <w:marBottom w:val="0"/>
      <w:divBdr>
        <w:top w:val="none" w:sz="0" w:space="0" w:color="auto"/>
        <w:left w:val="none" w:sz="0" w:space="0" w:color="auto"/>
        <w:bottom w:val="none" w:sz="0" w:space="0" w:color="auto"/>
        <w:right w:val="none" w:sz="0" w:space="0" w:color="auto"/>
      </w:divBdr>
    </w:div>
    <w:div w:id="554242651">
      <w:bodyDiv w:val="1"/>
      <w:marLeft w:val="0"/>
      <w:marRight w:val="0"/>
      <w:marTop w:val="0"/>
      <w:marBottom w:val="0"/>
      <w:divBdr>
        <w:top w:val="none" w:sz="0" w:space="0" w:color="auto"/>
        <w:left w:val="none" w:sz="0" w:space="0" w:color="auto"/>
        <w:bottom w:val="none" w:sz="0" w:space="0" w:color="auto"/>
        <w:right w:val="none" w:sz="0" w:space="0" w:color="auto"/>
      </w:divBdr>
    </w:div>
    <w:div w:id="559944566">
      <w:bodyDiv w:val="1"/>
      <w:marLeft w:val="0"/>
      <w:marRight w:val="0"/>
      <w:marTop w:val="0"/>
      <w:marBottom w:val="0"/>
      <w:divBdr>
        <w:top w:val="none" w:sz="0" w:space="0" w:color="auto"/>
        <w:left w:val="none" w:sz="0" w:space="0" w:color="auto"/>
        <w:bottom w:val="none" w:sz="0" w:space="0" w:color="auto"/>
        <w:right w:val="none" w:sz="0" w:space="0" w:color="auto"/>
      </w:divBdr>
    </w:div>
    <w:div w:id="575438693">
      <w:bodyDiv w:val="1"/>
      <w:marLeft w:val="0"/>
      <w:marRight w:val="0"/>
      <w:marTop w:val="0"/>
      <w:marBottom w:val="0"/>
      <w:divBdr>
        <w:top w:val="none" w:sz="0" w:space="0" w:color="auto"/>
        <w:left w:val="none" w:sz="0" w:space="0" w:color="auto"/>
        <w:bottom w:val="none" w:sz="0" w:space="0" w:color="auto"/>
        <w:right w:val="none" w:sz="0" w:space="0" w:color="auto"/>
      </w:divBdr>
    </w:div>
    <w:div w:id="580791808">
      <w:bodyDiv w:val="1"/>
      <w:marLeft w:val="0"/>
      <w:marRight w:val="0"/>
      <w:marTop w:val="0"/>
      <w:marBottom w:val="0"/>
      <w:divBdr>
        <w:top w:val="none" w:sz="0" w:space="0" w:color="auto"/>
        <w:left w:val="none" w:sz="0" w:space="0" w:color="auto"/>
        <w:bottom w:val="none" w:sz="0" w:space="0" w:color="auto"/>
        <w:right w:val="none" w:sz="0" w:space="0" w:color="auto"/>
      </w:divBdr>
    </w:div>
    <w:div w:id="585385814">
      <w:bodyDiv w:val="1"/>
      <w:marLeft w:val="0"/>
      <w:marRight w:val="0"/>
      <w:marTop w:val="0"/>
      <w:marBottom w:val="0"/>
      <w:divBdr>
        <w:top w:val="none" w:sz="0" w:space="0" w:color="auto"/>
        <w:left w:val="none" w:sz="0" w:space="0" w:color="auto"/>
        <w:bottom w:val="none" w:sz="0" w:space="0" w:color="auto"/>
        <w:right w:val="none" w:sz="0" w:space="0" w:color="auto"/>
      </w:divBdr>
    </w:div>
    <w:div w:id="586698559">
      <w:bodyDiv w:val="1"/>
      <w:marLeft w:val="0"/>
      <w:marRight w:val="0"/>
      <w:marTop w:val="0"/>
      <w:marBottom w:val="0"/>
      <w:divBdr>
        <w:top w:val="none" w:sz="0" w:space="0" w:color="auto"/>
        <w:left w:val="none" w:sz="0" w:space="0" w:color="auto"/>
        <w:bottom w:val="none" w:sz="0" w:space="0" w:color="auto"/>
        <w:right w:val="none" w:sz="0" w:space="0" w:color="auto"/>
      </w:divBdr>
    </w:div>
    <w:div w:id="588731071">
      <w:bodyDiv w:val="1"/>
      <w:marLeft w:val="0"/>
      <w:marRight w:val="0"/>
      <w:marTop w:val="0"/>
      <w:marBottom w:val="0"/>
      <w:divBdr>
        <w:top w:val="none" w:sz="0" w:space="0" w:color="auto"/>
        <w:left w:val="none" w:sz="0" w:space="0" w:color="auto"/>
        <w:bottom w:val="none" w:sz="0" w:space="0" w:color="auto"/>
        <w:right w:val="none" w:sz="0" w:space="0" w:color="auto"/>
      </w:divBdr>
    </w:div>
    <w:div w:id="597106998">
      <w:bodyDiv w:val="1"/>
      <w:marLeft w:val="0"/>
      <w:marRight w:val="0"/>
      <w:marTop w:val="0"/>
      <w:marBottom w:val="0"/>
      <w:divBdr>
        <w:top w:val="none" w:sz="0" w:space="0" w:color="auto"/>
        <w:left w:val="none" w:sz="0" w:space="0" w:color="auto"/>
        <w:bottom w:val="none" w:sz="0" w:space="0" w:color="auto"/>
        <w:right w:val="none" w:sz="0" w:space="0" w:color="auto"/>
      </w:divBdr>
      <w:divsChild>
        <w:div w:id="1009524702">
          <w:marLeft w:val="-720"/>
          <w:marRight w:val="0"/>
          <w:marTop w:val="0"/>
          <w:marBottom w:val="0"/>
          <w:divBdr>
            <w:top w:val="none" w:sz="0" w:space="0" w:color="auto"/>
            <w:left w:val="none" w:sz="0" w:space="0" w:color="auto"/>
            <w:bottom w:val="none" w:sz="0" w:space="0" w:color="auto"/>
            <w:right w:val="none" w:sz="0" w:space="0" w:color="auto"/>
          </w:divBdr>
        </w:div>
      </w:divsChild>
    </w:div>
    <w:div w:id="606038005">
      <w:bodyDiv w:val="1"/>
      <w:marLeft w:val="0"/>
      <w:marRight w:val="0"/>
      <w:marTop w:val="0"/>
      <w:marBottom w:val="0"/>
      <w:divBdr>
        <w:top w:val="none" w:sz="0" w:space="0" w:color="auto"/>
        <w:left w:val="none" w:sz="0" w:space="0" w:color="auto"/>
        <w:bottom w:val="none" w:sz="0" w:space="0" w:color="auto"/>
        <w:right w:val="none" w:sz="0" w:space="0" w:color="auto"/>
      </w:divBdr>
    </w:div>
    <w:div w:id="632946843">
      <w:bodyDiv w:val="1"/>
      <w:marLeft w:val="0"/>
      <w:marRight w:val="0"/>
      <w:marTop w:val="0"/>
      <w:marBottom w:val="0"/>
      <w:divBdr>
        <w:top w:val="none" w:sz="0" w:space="0" w:color="auto"/>
        <w:left w:val="none" w:sz="0" w:space="0" w:color="auto"/>
        <w:bottom w:val="none" w:sz="0" w:space="0" w:color="auto"/>
        <w:right w:val="none" w:sz="0" w:space="0" w:color="auto"/>
      </w:divBdr>
    </w:div>
    <w:div w:id="639042080">
      <w:bodyDiv w:val="1"/>
      <w:marLeft w:val="0"/>
      <w:marRight w:val="0"/>
      <w:marTop w:val="0"/>
      <w:marBottom w:val="0"/>
      <w:divBdr>
        <w:top w:val="none" w:sz="0" w:space="0" w:color="auto"/>
        <w:left w:val="none" w:sz="0" w:space="0" w:color="auto"/>
        <w:bottom w:val="none" w:sz="0" w:space="0" w:color="auto"/>
        <w:right w:val="none" w:sz="0" w:space="0" w:color="auto"/>
      </w:divBdr>
    </w:div>
    <w:div w:id="654139315">
      <w:bodyDiv w:val="1"/>
      <w:marLeft w:val="0"/>
      <w:marRight w:val="0"/>
      <w:marTop w:val="0"/>
      <w:marBottom w:val="0"/>
      <w:divBdr>
        <w:top w:val="none" w:sz="0" w:space="0" w:color="auto"/>
        <w:left w:val="none" w:sz="0" w:space="0" w:color="auto"/>
        <w:bottom w:val="none" w:sz="0" w:space="0" w:color="auto"/>
        <w:right w:val="none" w:sz="0" w:space="0" w:color="auto"/>
      </w:divBdr>
    </w:div>
    <w:div w:id="663244967">
      <w:bodyDiv w:val="1"/>
      <w:marLeft w:val="0"/>
      <w:marRight w:val="0"/>
      <w:marTop w:val="0"/>
      <w:marBottom w:val="0"/>
      <w:divBdr>
        <w:top w:val="none" w:sz="0" w:space="0" w:color="auto"/>
        <w:left w:val="none" w:sz="0" w:space="0" w:color="auto"/>
        <w:bottom w:val="none" w:sz="0" w:space="0" w:color="auto"/>
        <w:right w:val="none" w:sz="0" w:space="0" w:color="auto"/>
      </w:divBdr>
    </w:div>
    <w:div w:id="690375753">
      <w:bodyDiv w:val="1"/>
      <w:marLeft w:val="0"/>
      <w:marRight w:val="0"/>
      <w:marTop w:val="0"/>
      <w:marBottom w:val="0"/>
      <w:divBdr>
        <w:top w:val="none" w:sz="0" w:space="0" w:color="auto"/>
        <w:left w:val="none" w:sz="0" w:space="0" w:color="auto"/>
        <w:bottom w:val="none" w:sz="0" w:space="0" w:color="auto"/>
        <w:right w:val="none" w:sz="0" w:space="0" w:color="auto"/>
      </w:divBdr>
    </w:div>
    <w:div w:id="691951976">
      <w:bodyDiv w:val="1"/>
      <w:marLeft w:val="0"/>
      <w:marRight w:val="0"/>
      <w:marTop w:val="0"/>
      <w:marBottom w:val="0"/>
      <w:divBdr>
        <w:top w:val="none" w:sz="0" w:space="0" w:color="auto"/>
        <w:left w:val="none" w:sz="0" w:space="0" w:color="auto"/>
        <w:bottom w:val="none" w:sz="0" w:space="0" w:color="auto"/>
        <w:right w:val="none" w:sz="0" w:space="0" w:color="auto"/>
      </w:divBdr>
    </w:div>
    <w:div w:id="699934101">
      <w:bodyDiv w:val="1"/>
      <w:marLeft w:val="0"/>
      <w:marRight w:val="0"/>
      <w:marTop w:val="0"/>
      <w:marBottom w:val="0"/>
      <w:divBdr>
        <w:top w:val="none" w:sz="0" w:space="0" w:color="auto"/>
        <w:left w:val="none" w:sz="0" w:space="0" w:color="auto"/>
        <w:bottom w:val="none" w:sz="0" w:space="0" w:color="auto"/>
        <w:right w:val="none" w:sz="0" w:space="0" w:color="auto"/>
      </w:divBdr>
    </w:div>
    <w:div w:id="705910053">
      <w:bodyDiv w:val="1"/>
      <w:marLeft w:val="0"/>
      <w:marRight w:val="0"/>
      <w:marTop w:val="0"/>
      <w:marBottom w:val="0"/>
      <w:divBdr>
        <w:top w:val="none" w:sz="0" w:space="0" w:color="auto"/>
        <w:left w:val="none" w:sz="0" w:space="0" w:color="auto"/>
        <w:bottom w:val="none" w:sz="0" w:space="0" w:color="auto"/>
        <w:right w:val="none" w:sz="0" w:space="0" w:color="auto"/>
      </w:divBdr>
    </w:div>
    <w:div w:id="711609708">
      <w:bodyDiv w:val="1"/>
      <w:marLeft w:val="0"/>
      <w:marRight w:val="0"/>
      <w:marTop w:val="0"/>
      <w:marBottom w:val="0"/>
      <w:divBdr>
        <w:top w:val="none" w:sz="0" w:space="0" w:color="auto"/>
        <w:left w:val="none" w:sz="0" w:space="0" w:color="auto"/>
        <w:bottom w:val="none" w:sz="0" w:space="0" w:color="auto"/>
        <w:right w:val="none" w:sz="0" w:space="0" w:color="auto"/>
      </w:divBdr>
    </w:div>
    <w:div w:id="719090913">
      <w:bodyDiv w:val="1"/>
      <w:marLeft w:val="0"/>
      <w:marRight w:val="0"/>
      <w:marTop w:val="0"/>
      <w:marBottom w:val="0"/>
      <w:divBdr>
        <w:top w:val="none" w:sz="0" w:space="0" w:color="auto"/>
        <w:left w:val="none" w:sz="0" w:space="0" w:color="auto"/>
        <w:bottom w:val="none" w:sz="0" w:space="0" w:color="auto"/>
        <w:right w:val="none" w:sz="0" w:space="0" w:color="auto"/>
      </w:divBdr>
      <w:divsChild>
        <w:div w:id="527529660">
          <w:marLeft w:val="0"/>
          <w:marRight w:val="0"/>
          <w:marTop w:val="0"/>
          <w:marBottom w:val="0"/>
          <w:divBdr>
            <w:top w:val="none" w:sz="0" w:space="0" w:color="auto"/>
            <w:left w:val="none" w:sz="0" w:space="0" w:color="auto"/>
            <w:bottom w:val="none" w:sz="0" w:space="0" w:color="auto"/>
            <w:right w:val="none" w:sz="0" w:space="0" w:color="auto"/>
          </w:divBdr>
          <w:divsChild>
            <w:div w:id="205319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32861">
      <w:bodyDiv w:val="1"/>
      <w:marLeft w:val="0"/>
      <w:marRight w:val="0"/>
      <w:marTop w:val="0"/>
      <w:marBottom w:val="0"/>
      <w:divBdr>
        <w:top w:val="none" w:sz="0" w:space="0" w:color="auto"/>
        <w:left w:val="none" w:sz="0" w:space="0" w:color="auto"/>
        <w:bottom w:val="none" w:sz="0" w:space="0" w:color="auto"/>
        <w:right w:val="none" w:sz="0" w:space="0" w:color="auto"/>
      </w:divBdr>
    </w:div>
    <w:div w:id="730273240">
      <w:bodyDiv w:val="1"/>
      <w:marLeft w:val="0"/>
      <w:marRight w:val="0"/>
      <w:marTop w:val="0"/>
      <w:marBottom w:val="0"/>
      <w:divBdr>
        <w:top w:val="none" w:sz="0" w:space="0" w:color="auto"/>
        <w:left w:val="none" w:sz="0" w:space="0" w:color="auto"/>
        <w:bottom w:val="none" w:sz="0" w:space="0" w:color="auto"/>
        <w:right w:val="none" w:sz="0" w:space="0" w:color="auto"/>
      </w:divBdr>
    </w:div>
    <w:div w:id="743265161">
      <w:bodyDiv w:val="1"/>
      <w:marLeft w:val="0"/>
      <w:marRight w:val="0"/>
      <w:marTop w:val="0"/>
      <w:marBottom w:val="0"/>
      <w:divBdr>
        <w:top w:val="none" w:sz="0" w:space="0" w:color="auto"/>
        <w:left w:val="none" w:sz="0" w:space="0" w:color="auto"/>
        <w:bottom w:val="none" w:sz="0" w:space="0" w:color="auto"/>
        <w:right w:val="none" w:sz="0" w:space="0" w:color="auto"/>
      </w:divBdr>
    </w:div>
    <w:div w:id="746265497">
      <w:bodyDiv w:val="1"/>
      <w:marLeft w:val="0"/>
      <w:marRight w:val="0"/>
      <w:marTop w:val="0"/>
      <w:marBottom w:val="0"/>
      <w:divBdr>
        <w:top w:val="none" w:sz="0" w:space="0" w:color="auto"/>
        <w:left w:val="none" w:sz="0" w:space="0" w:color="auto"/>
        <w:bottom w:val="none" w:sz="0" w:space="0" w:color="auto"/>
        <w:right w:val="none" w:sz="0" w:space="0" w:color="auto"/>
      </w:divBdr>
      <w:divsChild>
        <w:div w:id="1488671641">
          <w:marLeft w:val="0"/>
          <w:marRight w:val="0"/>
          <w:marTop w:val="0"/>
          <w:marBottom w:val="0"/>
          <w:divBdr>
            <w:top w:val="none" w:sz="0" w:space="0" w:color="auto"/>
            <w:left w:val="none" w:sz="0" w:space="0" w:color="auto"/>
            <w:bottom w:val="none" w:sz="0" w:space="0" w:color="auto"/>
            <w:right w:val="none" w:sz="0" w:space="0" w:color="auto"/>
          </w:divBdr>
        </w:div>
      </w:divsChild>
    </w:div>
    <w:div w:id="748231977">
      <w:bodyDiv w:val="1"/>
      <w:marLeft w:val="0"/>
      <w:marRight w:val="0"/>
      <w:marTop w:val="0"/>
      <w:marBottom w:val="0"/>
      <w:divBdr>
        <w:top w:val="none" w:sz="0" w:space="0" w:color="auto"/>
        <w:left w:val="none" w:sz="0" w:space="0" w:color="auto"/>
        <w:bottom w:val="none" w:sz="0" w:space="0" w:color="auto"/>
        <w:right w:val="none" w:sz="0" w:space="0" w:color="auto"/>
      </w:divBdr>
    </w:div>
    <w:div w:id="762801790">
      <w:bodyDiv w:val="1"/>
      <w:marLeft w:val="0"/>
      <w:marRight w:val="0"/>
      <w:marTop w:val="0"/>
      <w:marBottom w:val="0"/>
      <w:divBdr>
        <w:top w:val="none" w:sz="0" w:space="0" w:color="auto"/>
        <w:left w:val="none" w:sz="0" w:space="0" w:color="auto"/>
        <w:bottom w:val="none" w:sz="0" w:space="0" w:color="auto"/>
        <w:right w:val="none" w:sz="0" w:space="0" w:color="auto"/>
      </w:divBdr>
    </w:div>
    <w:div w:id="765879926">
      <w:bodyDiv w:val="1"/>
      <w:marLeft w:val="0"/>
      <w:marRight w:val="0"/>
      <w:marTop w:val="0"/>
      <w:marBottom w:val="0"/>
      <w:divBdr>
        <w:top w:val="none" w:sz="0" w:space="0" w:color="auto"/>
        <w:left w:val="none" w:sz="0" w:space="0" w:color="auto"/>
        <w:bottom w:val="none" w:sz="0" w:space="0" w:color="auto"/>
        <w:right w:val="none" w:sz="0" w:space="0" w:color="auto"/>
      </w:divBdr>
      <w:divsChild>
        <w:div w:id="1565800386">
          <w:marLeft w:val="0"/>
          <w:marRight w:val="0"/>
          <w:marTop w:val="0"/>
          <w:marBottom w:val="0"/>
          <w:divBdr>
            <w:top w:val="none" w:sz="0" w:space="0" w:color="auto"/>
            <w:left w:val="none" w:sz="0" w:space="0" w:color="auto"/>
            <w:bottom w:val="none" w:sz="0" w:space="0" w:color="auto"/>
            <w:right w:val="none" w:sz="0" w:space="0" w:color="auto"/>
          </w:divBdr>
        </w:div>
      </w:divsChild>
    </w:div>
    <w:div w:id="769398721">
      <w:bodyDiv w:val="1"/>
      <w:marLeft w:val="0"/>
      <w:marRight w:val="0"/>
      <w:marTop w:val="0"/>
      <w:marBottom w:val="0"/>
      <w:divBdr>
        <w:top w:val="none" w:sz="0" w:space="0" w:color="auto"/>
        <w:left w:val="none" w:sz="0" w:space="0" w:color="auto"/>
        <w:bottom w:val="none" w:sz="0" w:space="0" w:color="auto"/>
        <w:right w:val="none" w:sz="0" w:space="0" w:color="auto"/>
      </w:divBdr>
    </w:div>
    <w:div w:id="785975330">
      <w:bodyDiv w:val="1"/>
      <w:marLeft w:val="0"/>
      <w:marRight w:val="0"/>
      <w:marTop w:val="0"/>
      <w:marBottom w:val="0"/>
      <w:divBdr>
        <w:top w:val="none" w:sz="0" w:space="0" w:color="auto"/>
        <w:left w:val="none" w:sz="0" w:space="0" w:color="auto"/>
        <w:bottom w:val="none" w:sz="0" w:space="0" w:color="auto"/>
        <w:right w:val="none" w:sz="0" w:space="0" w:color="auto"/>
      </w:divBdr>
    </w:div>
    <w:div w:id="785975357">
      <w:bodyDiv w:val="1"/>
      <w:marLeft w:val="0"/>
      <w:marRight w:val="0"/>
      <w:marTop w:val="0"/>
      <w:marBottom w:val="0"/>
      <w:divBdr>
        <w:top w:val="none" w:sz="0" w:space="0" w:color="auto"/>
        <w:left w:val="none" w:sz="0" w:space="0" w:color="auto"/>
        <w:bottom w:val="none" w:sz="0" w:space="0" w:color="auto"/>
        <w:right w:val="none" w:sz="0" w:space="0" w:color="auto"/>
      </w:divBdr>
    </w:div>
    <w:div w:id="798573273">
      <w:bodyDiv w:val="1"/>
      <w:marLeft w:val="0"/>
      <w:marRight w:val="0"/>
      <w:marTop w:val="0"/>
      <w:marBottom w:val="0"/>
      <w:divBdr>
        <w:top w:val="none" w:sz="0" w:space="0" w:color="auto"/>
        <w:left w:val="none" w:sz="0" w:space="0" w:color="auto"/>
        <w:bottom w:val="none" w:sz="0" w:space="0" w:color="auto"/>
        <w:right w:val="none" w:sz="0" w:space="0" w:color="auto"/>
      </w:divBdr>
    </w:div>
    <w:div w:id="805510730">
      <w:bodyDiv w:val="1"/>
      <w:marLeft w:val="0"/>
      <w:marRight w:val="0"/>
      <w:marTop w:val="0"/>
      <w:marBottom w:val="0"/>
      <w:divBdr>
        <w:top w:val="none" w:sz="0" w:space="0" w:color="auto"/>
        <w:left w:val="none" w:sz="0" w:space="0" w:color="auto"/>
        <w:bottom w:val="none" w:sz="0" w:space="0" w:color="auto"/>
        <w:right w:val="none" w:sz="0" w:space="0" w:color="auto"/>
      </w:divBdr>
    </w:div>
    <w:div w:id="810708679">
      <w:bodyDiv w:val="1"/>
      <w:marLeft w:val="0"/>
      <w:marRight w:val="0"/>
      <w:marTop w:val="0"/>
      <w:marBottom w:val="0"/>
      <w:divBdr>
        <w:top w:val="none" w:sz="0" w:space="0" w:color="auto"/>
        <w:left w:val="none" w:sz="0" w:space="0" w:color="auto"/>
        <w:bottom w:val="none" w:sz="0" w:space="0" w:color="auto"/>
        <w:right w:val="none" w:sz="0" w:space="0" w:color="auto"/>
      </w:divBdr>
    </w:div>
    <w:div w:id="839076625">
      <w:bodyDiv w:val="1"/>
      <w:marLeft w:val="0"/>
      <w:marRight w:val="0"/>
      <w:marTop w:val="0"/>
      <w:marBottom w:val="0"/>
      <w:divBdr>
        <w:top w:val="none" w:sz="0" w:space="0" w:color="auto"/>
        <w:left w:val="none" w:sz="0" w:space="0" w:color="auto"/>
        <w:bottom w:val="none" w:sz="0" w:space="0" w:color="auto"/>
        <w:right w:val="none" w:sz="0" w:space="0" w:color="auto"/>
      </w:divBdr>
    </w:div>
    <w:div w:id="839347772">
      <w:bodyDiv w:val="1"/>
      <w:marLeft w:val="0"/>
      <w:marRight w:val="0"/>
      <w:marTop w:val="0"/>
      <w:marBottom w:val="0"/>
      <w:divBdr>
        <w:top w:val="none" w:sz="0" w:space="0" w:color="auto"/>
        <w:left w:val="none" w:sz="0" w:space="0" w:color="auto"/>
        <w:bottom w:val="none" w:sz="0" w:space="0" w:color="auto"/>
        <w:right w:val="none" w:sz="0" w:space="0" w:color="auto"/>
      </w:divBdr>
    </w:div>
    <w:div w:id="839858076">
      <w:bodyDiv w:val="1"/>
      <w:marLeft w:val="0"/>
      <w:marRight w:val="0"/>
      <w:marTop w:val="0"/>
      <w:marBottom w:val="0"/>
      <w:divBdr>
        <w:top w:val="none" w:sz="0" w:space="0" w:color="auto"/>
        <w:left w:val="none" w:sz="0" w:space="0" w:color="auto"/>
        <w:bottom w:val="none" w:sz="0" w:space="0" w:color="auto"/>
        <w:right w:val="none" w:sz="0" w:space="0" w:color="auto"/>
      </w:divBdr>
    </w:div>
    <w:div w:id="845898593">
      <w:bodyDiv w:val="1"/>
      <w:marLeft w:val="0"/>
      <w:marRight w:val="0"/>
      <w:marTop w:val="0"/>
      <w:marBottom w:val="0"/>
      <w:divBdr>
        <w:top w:val="none" w:sz="0" w:space="0" w:color="auto"/>
        <w:left w:val="none" w:sz="0" w:space="0" w:color="auto"/>
        <w:bottom w:val="none" w:sz="0" w:space="0" w:color="auto"/>
        <w:right w:val="none" w:sz="0" w:space="0" w:color="auto"/>
      </w:divBdr>
    </w:div>
    <w:div w:id="855311831">
      <w:bodyDiv w:val="1"/>
      <w:marLeft w:val="0"/>
      <w:marRight w:val="0"/>
      <w:marTop w:val="0"/>
      <w:marBottom w:val="0"/>
      <w:divBdr>
        <w:top w:val="none" w:sz="0" w:space="0" w:color="auto"/>
        <w:left w:val="none" w:sz="0" w:space="0" w:color="auto"/>
        <w:bottom w:val="none" w:sz="0" w:space="0" w:color="auto"/>
        <w:right w:val="none" w:sz="0" w:space="0" w:color="auto"/>
      </w:divBdr>
    </w:div>
    <w:div w:id="870723814">
      <w:bodyDiv w:val="1"/>
      <w:marLeft w:val="0"/>
      <w:marRight w:val="0"/>
      <w:marTop w:val="0"/>
      <w:marBottom w:val="0"/>
      <w:divBdr>
        <w:top w:val="none" w:sz="0" w:space="0" w:color="auto"/>
        <w:left w:val="none" w:sz="0" w:space="0" w:color="auto"/>
        <w:bottom w:val="none" w:sz="0" w:space="0" w:color="auto"/>
        <w:right w:val="none" w:sz="0" w:space="0" w:color="auto"/>
      </w:divBdr>
      <w:divsChild>
        <w:div w:id="744495801">
          <w:marLeft w:val="-720"/>
          <w:marRight w:val="0"/>
          <w:marTop w:val="0"/>
          <w:marBottom w:val="0"/>
          <w:divBdr>
            <w:top w:val="none" w:sz="0" w:space="0" w:color="auto"/>
            <w:left w:val="none" w:sz="0" w:space="0" w:color="auto"/>
            <w:bottom w:val="none" w:sz="0" w:space="0" w:color="auto"/>
            <w:right w:val="none" w:sz="0" w:space="0" w:color="auto"/>
          </w:divBdr>
        </w:div>
      </w:divsChild>
    </w:div>
    <w:div w:id="872618232">
      <w:bodyDiv w:val="1"/>
      <w:marLeft w:val="0"/>
      <w:marRight w:val="0"/>
      <w:marTop w:val="0"/>
      <w:marBottom w:val="0"/>
      <w:divBdr>
        <w:top w:val="none" w:sz="0" w:space="0" w:color="auto"/>
        <w:left w:val="none" w:sz="0" w:space="0" w:color="auto"/>
        <w:bottom w:val="none" w:sz="0" w:space="0" w:color="auto"/>
        <w:right w:val="none" w:sz="0" w:space="0" w:color="auto"/>
      </w:divBdr>
    </w:div>
    <w:div w:id="879901141">
      <w:bodyDiv w:val="1"/>
      <w:marLeft w:val="0"/>
      <w:marRight w:val="0"/>
      <w:marTop w:val="0"/>
      <w:marBottom w:val="0"/>
      <w:divBdr>
        <w:top w:val="none" w:sz="0" w:space="0" w:color="auto"/>
        <w:left w:val="none" w:sz="0" w:space="0" w:color="auto"/>
        <w:bottom w:val="none" w:sz="0" w:space="0" w:color="auto"/>
        <w:right w:val="none" w:sz="0" w:space="0" w:color="auto"/>
      </w:divBdr>
      <w:divsChild>
        <w:div w:id="1550648522">
          <w:marLeft w:val="-720"/>
          <w:marRight w:val="0"/>
          <w:marTop w:val="0"/>
          <w:marBottom w:val="0"/>
          <w:divBdr>
            <w:top w:val="none" w:sz="0" w:space="0" w:color="auto"/>
            <w:left w:val="none" w:sz="0" w:space="0" w:color="auto"/>
            <w:bottom w:val="none" w:sz="0" w:space="0" w:color="auto"/>
            <w:right w:val="none" w:sz="0" w:space="0" w:color="auto"/>
          </w:divBdr>
        </w:div>
      </w:divsChild>
    </w:div>
    <w:div w:id="889002751">
      <w:bodyDiv w:val="1"/>
      <w:marLeft w:val="0"/>
      <w:marRight w:val="0"/>
      <w:marTop w:val="0"/>
      <w:marBottom w:val="0"/>
      <w:divBdr>
        <w:top w:val="none" w:sz="0" w:space="0" w:color="auto"/>
        <w:left w:val="none" w:sz="0" w:space="0" w:color="auto"/>
        <w:bottom w:val="none" w:sz="0" w:space="0" w:color="auto"/>
        <w:right w:val="none" w:sz="0" w:space="0" w:color="auto"/>
      </w:divBdr>
    </w:div>
    <w:div w:id="898983250">
      <w:bodyDiv w:val="1"/>
      <w:marLeft w:val="0"/>
      <w:marRight w:val="0"/>
      <w:marTop w:val="0"/>
      <w:marBottom w:val="0"/>
      <w:divBdr>
        <w:top w:val="none" w:sz="0" w:space="0" w:color="auto"/>
        <w:left w:val="none" w:sz="0" w:space="0" w:color="auto"/>
        <w:bottom w:val="none" w:sz="0" w:space="0" w:color="auto"/>
        <w:right w:val="none" w:sz="0" w:space="0" w:color="auto"/>
      </w:divBdr>
    </w:div>
    <w:div w:id="908463912">
      <w:bodyDiv w:val="1"/>
      <w:marLeft w:val="0"/>
      <w:marRight w:val="0"/>
      <w:marTop w:val="0"/>
      <w:marBottom w:val="0"/>
      <w:divBdr>
        <w:top w:val="none" w:sz="0" w:space="0" w:color="auto"/>
        <w:left w:val="none" w:sz="0" w:space="0" w:color="auto"/>
        <w:bottom w:val="none" w:sz="0" w:space="0" w:color="auto"/>
        <w:right w:val="none" w:sz="0" w:space="0" w:color="auto"/>
      </w:divBdr>
    </w:div>
    <w:div w:id="912931828">
      <w:bodyDiv w:val="1"/>
      <w:marLeft w:val="0"/>
      <w:marRight w:val="0"/>
      <w:marTop w:val="0"/>
      <w:marBottom w:val="0"/>
      <w:divBdr>
        <w:top w:val="none" w:sz="0" w:space="0" w:color="auto"/>
        <w:left w:val="none" w:sz="0" w:space="0" w:color="auto"/>
        <w:bottom w:val="none" w:sz="0" w:space="0" w:color="auto"/>
        <w:right w:val="none" w:sz="0" w:space="0" w:color="auto"/>
      </w:divBdr>
    </w:div>
    <w:div w:id="915820626">
      <w:bodyDiv w:val="1"/>
      <w:marLeft w:val="0"/>
      <w:marRight w:val="0"/>
      <w:marTop w:val="0"/>
      <w:marBottom w:val="0"/>
      <w:divBdr>
        <w:top w:val="none" w:sz="0" w:space="0" w:color="auto"/>
        <w:left w:val="none" w:sz="0" w:space="0" w:color="auto"/>
        <w:bottom w:val="none" w:sz="0" w:space="0" w:color="auto"/>
        <w:right w:val="none" w:sz="0" w:space="0" w:color="auto"/>
      </w:divBdr>
    </w:div>
    <w:div w:id="917179630">
      <w:bodyDiv w:val="1"/>
      <w:marLeft w:val="0"/>
      <w:marRight w:val="0"/>
      <w:marTop w:val="0"/>
      <w:marBottom w:val="0"/>
      <w:divBdr>
        <w:top w:val="none" w:sz="0" w:space="0" w:color="auto"/>
        <w:left w:val="none" w:sz="0" w:space="0" w:color="auto"/>
        <w:bottom w:val="none" w:sz="0" w:space="0" w:color="auto"/>
        <w:right w:val="none" w:sz="0" w:space="0" w:color="auto"/>
      </w:divBdr>
    </w:div>
    <w:div w:id="926425170">
      <w:bodyDiv w:val="1"/>
      <w:marLeft w:val="0"/>
      <w:marRight w:val="0"/>
      <w:marTop w:val="0"/>
      <w:marBottom w:val="0"/>
      <w:divBdr>
        <w:top w:val="none" w:sz="0" w:space="0" w:color="auto"/>
        <w:left w:val="none" w:sz="0" w:space="0" w:color="auto"/>
        <w:bottom w:val="none" w:sz="0" w:space="0" w:color="auto"/>
        <w:right w:val="none" w:sz="0" w:space="0" w:color="auto"/>
      </w:divBdr>
    </w:div>
    <w:div w:id="946933648">
      <w:bodyDiv w:val="1"/>
      <w:marLeft w:val="0"/>
      <w:marRight w:val="0"/>
      <w:marTop w:val="0"/>
      <w:marBottom w:val="0"/>
      <w:divBdr>
        <w:top w:val="none" w:sz="0" w:space="0" w:color="auto"/>
        <w:left w:val="none" w:sz="0" w:space="0" w:color="auto"/>
        <w:bottom w:val="none" w:sz="0" w:space="0" w:color="auto"/>
        <w:right w:val="none" w:sz="0" w:space="0" w:color="auto"/>
      </w:divBdr>
    </w:div>
    <w:div w:id="955868706">
      <w:bodyDiv w:val="1"/>
      <w:marLeft w:val="0"/>
      <w:marRight w:val="0"/>
      <w:marTop w:val="0"/>
      <w:marBottom w:val="0"/>
      <w:divBdr>
        <w:top w:val="none" w:sz="0" w:space="0" w:color="auto"/>
        <w:left w:val="none" w:sz="0" w:space="0" w:color="auto"/>
        <w:bottom w:val="none" w:sz="0" w:space="0" w:color="auto"/>
        <w:right w:val="none" w:sz="0" w:space="0" w:color="auto"/>
      </w:divBdr>
    </w:div>
    <w:div w:id="965966149">
      <w:bodyDiv w:val="1"/>
      <w:marLeft w:val="0"/>
      <w:marRight w:val="0"/>
      <w:marTop w:val="0"/>
      <w:marBottom w:val="0"/>
      <w:divBdr>
        <w:top w:val="none" w:sz="0" w:space="0" w:color="auto"/>
        <w:left w:val="none" w:sz="0" w:space="0" w:color="auto"/>
        <w:bottom w:val="none" w:sz="0" w:space="0" w:color="auto"/>
        <w:right w:val="none" w:sz="0" w:space="0" w:color="auto"/>
      </w:divBdr>
    </w:div>
    <w:div w:id="971061700">
      <w:bodyDiv w:val="1"/>
      <w:marLeft w:val="0"/>
      <w:marRight w:val="0"/>
      <w:marTop w:val="0"/>
      <w:marBottom w:val="0"/>
      <w:divBdr>
        <w:top w:val="none" w:sz="0" w:space="0" w:color="auto"/>
        <w:left w:val="none" w:sz="0" w:space="0" w:color="auto"/>
        <w:bottom w:val="none" w:sz="0" w:space="0" w:color="auto"/>
        <w:right w:val="none" w:sz="0" w:space="0" w:color="auto"/>
      </w:divBdr>
      <w:divsChild>
        <w:div w:id="951472866">
          <w:marLeft w:val="0"/>
          <w:marRight w:val="0"/>
          <w:marTop w:val="120"/>
          <w:marBottom w:val="0"/>
          <w:divBdr>
            <w:top w:val="none" w:sz="0" w:space="0" w:color="auto"/>
            <w:left w:val="none" w:sz="0" w:space="0" w:color="auto"/>
            <w:bottom w:val="none" w:sz="0" w:space="0" w:color="auto"/>
            <w:right w:val="none" w:sz="0" w:space="0" w:color="auto"/>
          </w:divBdr>
          <w:divsChild>
            <w:div w:id="37358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996746">
      <w:bodyDiv w:val="1"/>
      <w:marLeft w:val="0"/>
      <w:marRight w:val="0"/>
      <w:marTop w:val="0"/>
      <w:marBottom w:val="0"/>
      <w:divBdr>
        <w:top w:val="none" w:sz="0" w:space="0" w:color="auto"/>
        <w:left w:val="none" w:sz="0" w:space="0" w:color="auto"/>
        <w:bottom w:val="none" w:sz="0" w:space="0" w:color="auto"/>
        <w:right w:val="none" w:sz="0" w:space="0" w:color="auto"/>
      </w:divBdr>
    </w:div>
    <w:div w:id="988708165">
      <w:bodyDiv w:val="1"/>
      <w:marLeft w:val="0"/>
      <w:marRight w:val="0"/>
      <w:marTop w:val="0"/>
      <w:marBottom w:val="0"/>
      <w:divBdr>
        <w:top w:val="none" w:sz="0" w:space="0" w:color="auto"/>
        <w:left w:val="none" w:sz="0" w:space="0" w:color="auto"/>
        <w:bottom w:val="none" w:sz="0" w:space="0" w:color="auto"/>
        <w:right w:val="none" w:sz="0" w:space="0" w:color="auto"/>
      </w:divBdr>
    </w:div>
    <w:div w:id="994719164">
      <w:bodyDiv w:val="1"/>
      <w:marLeft w:val="0"/>
      <w:marRight w:val="0"/>
      <w:marTop w:val="0"/>
      <w:marBottom w:val="0"/>
      <w:divBdr>
        <w:top w:val="none" w:sz="0" w:space="0" w:color="auto"/>
        <w:left w:val="none" w:sz="0" w:space="0" w:color="auto"/>
        <w:bottom w:val="none" w:sz="0" w:space="0" w:color="auto"/>
        <w:right w:val="none" w:sz="0" w:space="0" w:color="auto"/>
      </w:divBdr>
    </w:div>
    <w:div w:id="995299335">
      <w:bodyDiv w:val="1"/>
      <w:marLeft w:val="0"/>
      <w:marRight w:val="0"/>
      <w:marTop w:val="0"/>
      <w:marBottom w:val="0"/>
      <w:divBdr>
        <w:top w:val="none" w:sz="0" w:space="0" w:color="auto"/>
        <w:left w:val="none" w:sz="0" w:space="0" w:color="auto"/>
        <w:bottom w:val="none" w:sz="0" w:space="0" w:color="auto"/>
        <w:right w:val="none" w:sz="0" w:space="0" w:color="auto"/>
      </w:divBdr>
    </w:div>
    <w:div w:id="998461430">
      <w:bodyDiv w:val="1"/>
      <w:marLeft w:val="0"/>
      <w:marRight w:val="0"/>
      <w:marTop w:val="0"/>
      <w:marBottom w:val="0"/>
      <w:divBdr>
        <w:top w:val="none" w:sz="0" w:space="0" w:color="auto"/>
        <w:left w:val="none" w:sz="0" w:space="0" w:color="auto"/>
        <w:bottom w:val="none" w:sz="0" w:space="0" w:color="auto"/>
        <w:right w:val="none" w:sz="0" w:space="0" w:color="auto"/>
      </w:divBdr>
    </w:div>
    <w:div w:id="1009868062">
      <w:bodyDiv w:val="1"/>
      <w:marLeft w:val="0"/>
      <w:marRight w:val="0"/>
      <w:marTop w:val="0"/>
      <w:marBottom w:val="0"/>
      <w:divBdr>
        <w:top w:val="none" w:sz="0" w:space="0" w:color="auto"/>
        <w:left w:val="none" w:sz="0" w:space="0" w:color="auto"/>
        <w:bottom w:val="none" w:sz="0" w:space="0" w:color="auto"/>
        <w:right w:val="none" w:sz="0" w:space="0" w:color="auto"/>
      </w:divBdr>
    </w:div>
    <w:div w:id="1020935513">
      <w:bodyDiv w:val="1"/>
      <w:marLeft w:val="0"/>
      <w:marRight w:val="0"/>
      <w:marTop w:val="0"/>
      <w:marBottom w:val="0"/>
      <w:divBdr>
        <w:top w:val="none" w:sz="0" w:space="0" w:color="auto"/>
        <w:left w:val="none" w:sz="0" w:space="0" w:color="auto"/>
        <w:bottom w:val="none" w:sz="0" w:space="0" w:color="auto"/>
        <w:right w:val="none" w:sz="0" w:space="0" w:color="auto"/>
      </w:divBdr>
    </w:div>
    <w:div w:id="1027827326">
      <w:bodyDiv w:val="1"/>
      <w:marLeft w:val="0"/>
      <w:marRight w:val="0"/>
      <w:marTop w:val="0"/>
      <w:marBottom w:val="0"/>
      <w:divBdr>
        <w:top w:val="none" w:sz="0" w:space="0" w:color="auto"/>
        <w:left w:val="none" w:sz="0" w:space="0" w:color="auto"/>
        <w:bottom w:val="none" w:sz="0" w:space="0" w:color="auto"/>
        <w:right w:val="none" w:sz="0" w:space="0" w:color="auto"/>
      </w:divBdr>
    </w:div>
    <w:div w:id="1028220004">
      <w:bodyDiv w:val="1"/>
      <w:marLeft w:val="0"/>
      <w:marRight w:val="0"/>
      <w:marTop w:val="0"/>
      <w:marBottom w:val="0"/>
      <w:divBdr>
        <w:top w:val="none" w:sz="0" w:space="0" w:color="auto"/>
        <w:left w:val="none" w:sz="0" w:space="0" w:color="auto"/>
        <w:bottom w:val="none" w:sz="0" w:space="0" w:color="auto"/>
        <w:right w:val="none" w:sz="0" w:space="0" w:color="auto"/>
      </w:divBdr>
    </w:div>
    <w:div w:id="1038318184">
      <w:bodyDiv w:val="1"/>
      <w:marLeft w:val="0"/>
      <w:marRight w:val="0"/>
      <w:marTop w:val="0"/>
      <w:marBottom w:val="0"/>
      <w:divBdr>
        <w:top w:val="none" w:sz="0" w:space="0" w:color="auto"/>
        <w:left w:val="none" w:sz="0" w:space="0" w:color="auto"/>
        <w:bottom w:val="none" w:sz="0" w:space="0" w:color="auto"/>
        <w:right w:val="none" w:sz="0" w:space="0" w:color="auto"/>
      </w:divBdr>
    </w:div>
    <w:div w:id="1040547262">
      <w:bodyDiv w:val="1"/>
      <w:marLeft w:val="0"/>
      <w:marRight w:val="0"/>
      <w:marTop w:val="0"/>
      <w:marBottom w:val="0"/>
      <w:divBdr>
        <w:top w:val="none" w:sz="0" w:space="0" w:color="auto"/>
        <w:left w:val="none" w:sz="0" w:space="0" w:color="auto"/>
        <w:bottom w:val="none" w:sz="0" w:space="0" w:color="auto"/>
        <w:right w:val="none" w:sz="0" w:space="0" w:color="auto"/>
      </w:divBdr>
    </w:div>
    <w:div w:id="1045329467">
      <w:bodyDiv w:val="1"/>
      <w:marLeft w:val="0"/>
      <w:marRight w:val="0"/>
      <w:marTop w:val="0"/>
      <w:marBottom w:val="0"/>
      <w:divBdr>
        <w:top w:val="none" w:sz="0" w:space="0" w:color="auto"/>
        <w:left w:val="none" w:sz="0" w:space="0" w:color="auto"/>
        <w:bottom w:val="none" w:sz="0" w:space="0" w:color="auto"/>
        <w:right w:val="none" w:sz="0" w:space="0" w:color="auto"/>
      </w:divBdr>
      <w:divsChild>
        <w:div w:id="47001114">
          <w:marLeft w:val="0"/>
          <w:marRight w:val="0"/>
          <w:marTop w:val="0"/>
          <w:marBottom w:val="0"/>
          <w:divBdr>
            <w:top w:val="none" w:sz="0" w:space="0" w:color="auto"/>
            <w:left w:val="none" w:sz="0" w:space="0" w:color="auto"/>
            <w:bottom w:val="none" w:sz="0" w:space="0" w:color="auto"/>
            <w:right w:val="none" w:sz="0" w:space="0" w:color="auto"/>
          </w:divBdr>
        </w:div>
      </w:divsChild>
    </w:div>
    <w:div w:id="1047073326">
      <w:bodyDiv w:val="1"/>
      <w:marLeft w:val="0"/>
      <w:marRight w:val="0"/>
      <w:marTop w:val="0"/>
      <w:marBottom w:val="0"/>
      <w:divBdr>
        <w:top w:val="none" w:sz="0" w:space="0" w:color="auto"/>
        <w:left w:val="none" w:sz="0" w:space="0" w:color="auto"/>
        <w:bottom w:val="none" w:sz="0" w:space="0" w:color="auto"/>
        <w:right w:val="none" w:sz="0" w:space="0" w:color="auto"/>
      </w:divBdr>
    </w:div>
    <w:div w:id="1054475277">
      <w:bodyDiv w:val="1"/>
      <w:marLeft w:val="0"/>
      <w:marRight w:val="0"/>
      <w:marTop w:val="0"/>
      <w:marBottom w:val="0"/>
      <w:divBdr>
        <w:top w:val="none" w:sz="0" w:space="0" w:color="auto"/>
        <w:left w:val="none" w:sz="0" w:space="0" w:color="auto"/>
        <w:bottom w:val="none" w:sz="0" w:space="0" w:color="auto"/>
        <w:right w:val="none" w:sz="0" w:space="0" w:color="auto"/>
      </w:divBdr>
    </w:div>
    <w:div w:id="1075588588">
      <w:bodyDiv w:val="1"/>
      <w:marLeft w:val="0"/>
      <w:marRight w:val="0"/>
      <w:marTop w:val="0"/>
      <w:marBottom w:val="0"/>
      <w:divBdr>
        <w:top w:val="none" w:sz="0" w:space="0" w:color="auto"/>
        <w:left w:val="none" w:sz="0" w:space="0" w:color="auto"/>
        <w:bottom w:val="none" w:sz="0" w:space="0" w:color="auto"/>
        <w:right w:val="none" w:sz="0" w:space="0" w:color="auto"/>
      </w:divBdr>
    </w:div>
    <w:div w:id="1087111692">
      <w:bodyDiv w:val="1"/>
      <w:marLeft w:val="0"/>
      <w:marRight w:val="0"/>
      <w:marTop w:val="0"/>
      <w:marBottom w:val="0"/>
      <w:divBdr>
        <w:top w:val="none" w:sz="0" w:space="0" w:color="auto"/>
        <w:left w:val="none" w:sz="0" w:space="0" w:color="auto"/>
        <w:bottom w:val="none" w:sz="0" w:space="0" w:color="auto"/>
        <w:right w:val="none" w:sz="0" w:space="0" w:color="auto"/>
      </w:divBdr>
    </w:div>
    <w:div w:id="1087113441">
      <w:bodyDiv w:val="1"/>
      <w:marLeft w:val="0"/>
      <w:marRight w:val="0"/>
      <w:marTop w:val="0"/>
      <w:marBottom w:val="0"/>
      <w:divBdr>
        <w:top w:val="none" w:sz="0" w:space="0" w:color="auto"/>
        <w:left w:val="none" w:sz="0" w:space="0" w:color="auto"/>
        <w:bottom w:val="none" w:sz="0" w:space="0" w:color="auto"/>
        <w:right w:val="none" w:sz="0" w:space="0" w:color="auto"/>
      </w:divBdr>
    </w:div>
    <w:div w:id="1112240132">
      <w:bodyDiv w:val="1"/>
      <w:marLeft w:val="0"/>
      <w:marRight w:val="0"/>
      <w:marTop w:val="0"/>
      <w:marBottom w:val="0"/>
      <w:divBdr>
        <w:top w:val="none" w:sz="0" w:space="0" w:color="auto"/>
        <w:left w:val="none" w:sz="0" w:space="0" w:color="auto"/>
        <w:bottom w:val="none" w:sz="0" w:space="0" w:color="auto"/>
        <w:right w:val="none" w:sz="0" w:space="0" w:color="auto"/>
      </w:divBdr>
      <w:divsChild>
        <w:div w:id="1007830356">
          <w:marLeft w:val="0"/>
          <w:marRight w:val="0"/>
          <w:marTop w:val="0"/>
          <w:marBottom w:val="0"/>
          <w:divBdr>
            <w:top w:val="none" w:sz="0" w:space="0" w:color="auto"/>
            <w:left w:val="none" w:sz="0" w:space="0" w:color="auto"/>
            <w:bottom w:val="none" w:sz="0" w:space="0" w:color="auto"/>
            <w:right w:val="none" w:sz="0" w:space="0" w:color="auto"/>
          </w:divBdr>
        </w:div>
        <w:div w:id="1049109088">
          <w:marLeft w:val="0"/>
          <w:marRight w:val="0"/>
          <w:marTop w:val="0"/>
          <w:marBottom w:val="0"/>
          <w:divBdr>
            <w:top w:val="none" w:sz="0" w:space="0" w:color="auto"/>
            <w:left w:val="none" w:sz="0" w:space="0" w:color="auto"/>
            <w:bottom w:val="none" w:sz="0" w:space="0" w:color="auto"/>
            <w:right w:val="none" w:sz="0" w:space="0" w:color="auto"/>
          </w:divBdr>
        </w:div>
        <w:div w:id="1935698713">
          <w:marLeft w:val="0"/>
          <w:marRight w:val="0"/>
          <w:marTop w:val="0"/>
          <w:marBottom w:val="0"/>
          <w:divBdr>
            <w:top w:val="none" w:sz="0" w:space="0" w:color="auto"/>
            <w:left w:val="none" w:sz="0" w:space="0" w:color="auto"/>
            <w:bottom w:val="none" w:sz="0" w:space="0" w:color="auto"/>
            <w:right w:val="none" w:sz="0" w:space="0" w:color="auto"/>
          </w:divBdr>
        </w:div>
      </w:divsChild>
    </w:div>
    <w:div w:id="1113750524">
      <w:bodyDiv w:val="1"/>
      <w:marLeft w:val="0"/>
      <w:marRight w:val="0"/>
      <w:marTop w:val="0"/>
      <w:marBottom w:val="0"/>
      <w:divBdr>
        <w:top w:val="none" w:sz="0" w:space="0" w:color="auto"/>
        <w:left w:val="none" w:sz="0" w:space="0" w:color="auto"/>
        <w:bottom w:val="none" w:sz="0" w:space="0" w:color="auto"/>
        <w:right w:val="none" w:sz="0" w:space="0" w:color="auto"/>
      </w:divBdr>
    </w:div>
    <w:div w:id="1114791882">
      <w:bodyDiv w:val="1"/>
      <w:marLeft w:val="0"/>
      <w:marRight w:val="0"/>
      <w:marTop w:val="0"/>
      <w:marBottom w:val="0"/>
      <w:divBdr>
        <w:top w:val="none" w:sz="0" w:space="0" w:color="auto"/>
        <w:left w:val="none" w:sz="0" w:space="0" w:color="auto"/>
        <w:bottom w:val="none" w:sz="0" w:space="0" w:color="auto"/>
        <w:right w:val="none" w:sz="0" w:space="0" w:color="auto"/>
      </w:divBdr>
    </w:div>
    <w:div w:id="1123421117">
      <w:bodyDiv w:val="1"/>
      <w:marLeft w:val="0"/>
      <w:marRight w:val="0"/>
      <w:marTop w:val="0"/>
      <w:marBottom w:val="0"/>
      <w:divBdr>
        <w:top w:val="none" w:sz="0" w:space="0" w:color="auto"/>
        <w:left w:val="none" w:sz="0" w:space="0" w:color="auto"/>
        <w:bottom w:val="none" w:sz="0" w:space="0" w:color="auto"/>
        <w:right w:val="none" w:sz="0" w:space="0" w:color="auto"/>
      </w:divBdr>
    </w:div>
    <w:div w:id="1124422914">
      <w:bodyDiv w:val="1"/>
      <w:marLeft w:val="0"/>
      <w:marRight w:val="0"/>
      <w:marTop w:val="0"/>
      <w:marBottom w:val="0"/>
      <w:divBdr>
        <w:top w:val="none" w:sz="0" w:space="0" w:color="auto"/>
        <w:left w:val="none" w:sz="0" w:space="0" w:color="auto"/>
        <w:bottom w:val="none" w:sz="0" w:space="0" w:color="auto"/>
        <w:right w:val="none" w:sz="0" w:space="0" w:color="auto"/>
      </w:divBdr>
    </w:div>
    <w:div w:id="1128862085">
      <w:bodyDiv w:val="1"/>
      <w:marLeft w:val="0"/>
      <w:marRight w:val="0"/>
      <w:marTop w:val="0"/>
      <w:marBottom w:val="0"/>
      <w:divBdr>
        <w:top w:val="none" w:sz="0" w:space="0" w:color="auto"/>
        <w:left w:val="none" w:sz="0" w:space="0" w:color="auto"/>
        <w:bottom w:val="none" w:sz="0" w:space="0" w:color="auto"/>
        <w:right w:val="none" w:sz="0" w:space="0" w:color="auto"/>
      </w:divBdr>
    </w:div>
    <w:div w:id="1132093006">
      <w:bodyDiv w:val="1"/>
      <w:marLeft w:val="0"/>
      <w:marRight w:val="0"/>
      <w:marTop w:val="0"/>
      <w:marBottom w:val="0"/>
      <w:divBdr>
        <w:top w:val="none" w:sz="0" w:space="0" w:color="auto"/>
        <w:left w:val="none" w:sz="0" w:space="0" w:color="auto"/>
        <w:bottom w:val="none" w:sz="0" w:space="0" w:color="auto"/>
        <w:right w:val="none" w:sz="0" w:space="0" w:color="auto"/>
      </w:divBdr>
    </w:div>
    <w:div w:id="1148397538">
      <w:bodyDiv w:val="1"/>
      <w:marLeft w:val="0"/>
      <w:marRight w:val="0"/>
      <w:marTop w:val="0"/>
      <w:marBottom w:val="0"/>
      <w:divBdr>
        <w:top w:val="none" w:sz="0" w:space="0" w:color="auto"/>
        <w:left w:val="none" w:sz="0" w:space="0" w:color="auto"/>
        <w:bottom w:val="none" w:sz="0" w:space="0" w:color="auto"/>
        <w:right w:val="none" w:sz="0" w:space="0" w:color="auto"/>
      </w:divBdr>
    </w:div>
    <w:div w:id="1148979783">
      <w:bodyDiv w:val="1"/>
      <w:marLeft w:val="0"/>
      <w:marRight w:val="0"/>
      <w:marTop w:val="0"/>
      <w:marBottom w:val="0"/>
      <w:divBdr>
        <w:top w:val="none" w:sz="0" w:space="0" w:color="auto"/>
        <w:left w:val="none" w:sz="0" w:space="0" w:color="auto"/>
        <w:bottom w:val="none" w:sz="0" w:space="0" w:color="auto"/>
        <w:right w:val="none" w:sz="0" w:space="0" w:color="auto"/>
      </w:divBdr>
    </w:div>
    <w:div w:id="1153761872">
      <w:bodyDiv w:val="1"/>
      <w:marLeft w:val="0"/>
      <w:marRight w:val="0"/>
      <w:marTop w:val="0"/>
      <w:marBottom w:val="0"/>
      <w:divBdr>
        <w:top w:val="none" w:sz="0" w:space="0" w:color="auto"/>
        <w:left w:val="none" w:sz="0" w:space="0" w:color="auto"/>
        <w:bottom w:val="none" w:sz="0" w:space="0" w:color="auto"/>
        <w:right w:val="none" w:sz="0" w:space="0" w:color="auto"/>
      </w:divBdr>
    </w:div>
    <w:div w:id="1154177811">
      <w:bodyDiv w:val="1"/>
      <w:marLeft w:val="0"/>
      <w:marRight w:val="0"/>
      <w:marTop w:val="0"/>
      <w:marBottom w:val="0"/>
      <w:divBdr>
        <w:top w:val="none" w:sz="0" w:space="0" w:color="auto"/>
        <w:left w:val="none" w:sz="0" w:space="0" w:color="auto"/>
        <w:bottom w:val="none" w:sz="0" w:space="0" w:color="auto"/>
        <w:right w:val="none" w:sz="0" w:space="0" w:color="auto"/>
      </w:divBdr>
    </w:div>
    <w:div w:id="1164198459">
      <w:bodyDiv w:val="1"/>
      <w:marLeft w:val="0"/>
      <w:marRight w:val="0"/>
      <w:marTop w:val="0"/>
      <w:marBottom w:val="0"/>
      <w:divBdr>
        <w:top w:val="none" w:sz="0" w:space="0" w:color="auto"/>
        <w:left w:val="none" w:sz="0" w:space="0" w:color="auto"/>
        <w:bottom w:val="none" w:sz="0" w:space="0" w:color="auto"/>
        <w:right w:val="none" w:sz="0" w:space="0" w:color="auto"/>
      </w:divBdr>
    </w:div>
    <w:div w:id="1164248719">
      <w:bodyDiv w:val="1"/>
      <w:marLeft w:val="0"/>
      <w:marRight w:val="0"/>
      <w:marTop w:val="0"/>
      <w:marBottom w:val="0"/>
      <w:divBdr>
        <w:top w:val="none" w:sz="0" w:space="0" w:color="auto"/>
        <w:left w:val="none" w:sz="0" w:space="0" w:color="auto"/>
        <w:bottom w:val="none" w:sz="0" w:space="0" w:color="auto"/>
        <w:right w:val="none" w:sz="0" w:space="0" w:color="auto"/>
      </w:divBdr>
    </w:div>
    <w:div w:id="1165127023">
      <w:bodyDiv w:val="1"/>
      <w:marLeft w:val="0"/>
      <w:marRight w:val="0"/>
      <w:marTop w:val="0"/>
      <w:marBottom w:val="0"/>
      <w:divBdr>
        <w:top w:val="none" w:sz="0" w:space="0" w:color="auto"/>
        <w:left w:val="none" w:sz="0" w:space="0" w:color="auto"/>
        <w:bottom w:val="none" w:sz="0" w:space="0" w:color="auto"/>
        <w:right w:val="none" w:sz="0" w:space="0" w:color="auto"/>
      </w:divBdr>
    </w:div>
    <w:div w:id="1168253047">
      <w:bodyDiv w:val="1"/>
      <w:marLeft w:val="0"/>
      <w:marRight w:val="0"/>
      <w:marTop w:val="0"/>
      <w:marBottom w:val="0"/>
      <w:divBdr>
        <w:top w:val="none" w:sz="0" w:space="0" w:color="auto"/>
        <w:left w:val="none" w:sz="0" w:space="0" w:color="auto"/>
        <w:bottom w:val="none" w:sz="0" w:space="0" w:color="auto"/>
        <w:right w:val="none" w:sz="0" w:space="0" w:color="auto"/>
      </w:divBdr>
    </w:div>
    <w:div w:id="1181548620">
      <w:bodyDiv w:val="1"/>
      <w:marLeft w:val="0"/>
      <w:marRight w:val="0"/>
      <w:marTop w:val="0"/>
      <w:marBottom w:val="0"/>
      <w:divBdr>
        <w:top w:val="none" w:sz="0" w:space="0" w:color="auto"/>
        <w:left w:val="none" w:sz="0" w:space="0" w:color="auto"/>
        <w:bottom w:val="none" w:sz="0" w:space="0" w:color="auto"/>
        <w:right w:val="none" w:sz="0" w:space="0" w:color="auto"/>
      </w:divBdr>
      <w:divsChild>
        <w:div w:id="847864314">
          <w:marLeft w:val="-720"/>
          <w:marRight w:val="0"/>
          <w:marTop w:val="0"/>
          <w:marBottom w:val="0"/>
          <w:divBdr>
            <w:top w:val="none" w:sz="0" w:space="0" w:color="auto"/>
            <w:left w:val="none" w:sz="0" w:space="0" w:color="auto"/>
            <w:bottom w:val="none" w:sz="0" w:space="0" w:color="auto"/>
            <w:right w:val="none" w:sz="0" w:space="0" w:color="auto"/>
          </w:divBdr>
        </w:div>
      </w:divsChild>
    </w:div>
    <w:div w:id="1198354932">
      <w:bodyDiv w:val="1"/>
      <w:marLeft w:val="0"/>
      <w:marRight w:val="0"/>
      <w:marTop w:val="0"/>
      <w:marBottom w:val="0"/>
      <w:divBdr>
        <w:top w:val="none" w:sz="0" w:space="0" w:color="auto"/>
        <w:left w:val="none" w:sz="0" w:space="0" w:color="auto"/>
        <w:bottom w:val="none" w:sz="0" w:space="0" w:color="auto"/>
        <w:right w:val="none" w:sz="0" w:space="0" w:color="auto"/>
      </w:divBdr>
      <w:divsChild>
        <w:div w:id="553393810">
          <w:marLeft w:val="0"/>
          <w:marRight w:val="0"/>
          <w:marTop w:val="0"/>
          <w:marBottom w:val="0"/>
          <w:divBdr>
            <w:top w:val="none" w:sz="0" w:space="0" w:color="auto"/>
            <w:left w:val="none" w:sz="0" w:space="0" w:color="auto"/>
            <w:bottom w:val="none" w:sz="0" w:space="0" w:color="auto"/>
            <w:right w:val="none" w:sz="0" w:space="0" w:color="auto"/>
          </w:divBdr>
        </w:div>
      </w:divsChild>
    </w:div>
    <w:div w:id="1202941564">
      <w:bodyDiv w:val="1"/>
      <w:marLeft w:val="0"/>
      <w:marRight w:val="0"/>
      <w:marTop w:val="0"/>
      <w:marBottom w:val="0"/>
      <w:divBdr>
        <w:top w:val="none" w:sz="0" w:space="0" w:color="auto"/>
        <w:left w:val="none" w:sz="0" w:space="0" w:color="auto"/>
        <w:bottom w:val="none" w:sz="0" w:space="0" w:color="auto"/>
        <w:right w:val="none" w:sz="0" w:space="0" w:color="auto"/>
      </w:divBdr>
    </w:div>
    <w:div w:id="1206865530">
      <w:bodyDiv w:val="1"/>
      <w:marLeft w:val="0"/>
      <w:marRight w:val="0"/>
      <w:marTop w:val="0"/>
      <w:marBottom w:val="0"/>
      <w:divBdr>
        <w:top w:val="none" w:sz="0" w:space="0" w:color="auto"/>
        <w:left w:val="none" w:sz="0" w:space="0" w:color="auto"/>
        <w:bottom w:val="none" w:sz="0" w:space="0" w:color="auto"/>
        <w:right w:val="none" w:sz="0" w:space="0" w:color="auto"/>
      </w:divBdr>
    </w:div>
    <w:div w:id="1208176469">
      <w:bodyDiv w:val="1"/>
      <w:marLeft w:val="0"/>
      <w:marRight w:val="0"/>
      <w:marTop w:val="0"/>
      <w:marBottom w:val="0"/>
      <w:divBdr>
        <w:top w:val="none" w:sz="0" w:space="0" w:color="auto"/>
        <w:left w:val="none" w:sz="0" w:space="0" w:color="auto"/>
        <w:bottom w:val="none" w:sz="0" w:space="0" w:color="auto"/>
        <w:right w:val="none" w:sz="0" w:space="0" w:color="auto"/>
      </w:divBdr>
    </w:div>
    <w:div w:id="1211501418">
      <w:bodyDiv w:val="1"/>
      <w:marLeft w:val="0"/>
      <w:marRight w:val="0"/>
      <w:marTop w:val="0"/>
      <w:marBottom w:val="0"/>
      <w:divBdr>
        <w:top w:val="none" w:sz="0" w:space="0" w:color="auto"/>
        <w:left w:val="none" w:sz="0" w:space="0" w:color="auto"/>
        <w:bottom w:val="none" w:sz="0" w:space="0" w:color="auto"/>
        <w:right w:val="none" w:sz="0" w:space="0" w:color="auto"/>
      </w:divBdr>
    </w:div>
    <w:div w:id="1217931174">
      <w:bodyDiv w:val="1"/>
      <w:marLeft w:val="0"/>
      <w:marRight w:val="0"/>
      <w:marTop w:val="0"/>
      <w:marBottom w:val="0"/>
      <w:divBdr>
        <w:top w:val="none" w:sz="0" w:space="0" w:color="auto"/>
        <w:left w:val="none" w:sz="0" w:space="0" w:color="auto"/>
        <w:bottom w:val="none" w:sz="0" w:space="0" w:color="auto"/>
        <w:right w:val="none" w:sz="0" w:space="0" w:color="auto"/>
      </w:divBdr>
    </w:div>
    <w:div w:id="1226258385">
      <w:bodyDiv w:val="1"/>
      <w:marLeft w:val="0"/>
      <w:marRight w:val="0"/>
      <w:marTop w:val="0"/>
      <w:marBottom w:val="0"/>
      <w:divBdr>
        <w:top w:val="none" w:sz="0" w:space="0" w:color="auto"/>
        <w:left w:val="none" w:sz="0" w:space="0" w:color="auto"/>
        <w:bottom w:val="none" w:sz="0" w:space="0" w:color="auto"/>
        <w:right w:val="none" w:sz="0" w:space="0" w:color="auto"/>
      </w:divBdr>
    </w:div>
    <w:div w:id="1228806261">
      <w:bodyDiv w:val="1"/>
      <w:marLeft w:val="0"/>
      <w:marRight w:val="0"/>
      <w:marTop w:val="0"/>
      <w:marBottom w:val="0"/>
      <w:divBdr>
        <w:top w:val="none" w:sz="0" w:space="0" w:color="auto"/>
        <w:left w:val="none" w:sz="0" w:space="0" w:color="auto"/>
        <w:bottom w:val="none" w:sz="0" w:space="0" w:color="auto"/>
        <w:right w:val="none" w:sz="0" w:space="0" w:color="auto"/>
      </w:divBdr>
    </w:div>
    <w:div w:id="1235509611">
      <w:bodyDiv w:val="1"/>
      <w:marLeft w:val="0"/>
      <w:marRight w:val="0"/>
      <w:marTop w:val="0"/>
      <w:marBottom w:val="0"/>
      <w:divBdr>
        <w:top w:val="none" w:sz="0" w:space="0" w:color="auto"/>
        <w:left w:val="none" w:sz="0" w:space="0" w:color="auto"/>
        <w:bottom w:val="none" w:sz="0" w:space="0" w:color="auto"/>
        <w:right w:val="none" w:sz="0" w:space="0" w:color="auto"/>
      </w:divBdr>
    </w:div>
    <w:div w:id="1239293939">
      <w:bodyDiv w:val="1"/>
      <w:marLeft w:val="0"/>
      <w:marRight w:val="0"/>
      <w:marTop w:val="0"/>
      <w:marBottom w:val="0"/>
      <w:divBdr>
        <w:top w:val="none" w:sz="0" w:space="0" w:color="auto"/>
        <w:left w:val="none" w:sz="0" w:space="0" w:color="auto"/>
        <w:bottom w:val="none" w:sz="0" w:space="0" w:color="auto"/>
        <w:right w:val="none" w:sz="0" w:space="0" w:color="auto"/>
      </w:divBdr>
    </w:div>
    <w:div w:id="1294214475">
      <w:bodyDiv w:val="1"/>
      <w:marLeft w:val="0"/>
      <w:marRight w:val="0"/>
      <w:marTop w:val="0"/>
      <w:marBottom w:val="0"/>
      <w:divBdr>
        <w:top w:val="none" w:sz="0" w:space="0" w:color="auto"/>
        <w:left w:val="none" w:sz="0" w:space="0" w:color="auto"/>
        <w:bottom w:val="none" w:sz="0" w:space="0" w:color="auto"/>
        <w:right w:val="none" w:sz="0" w:space="0" w:color="auto"/>
      </w:divBdr>
    </w:div>
    <w:div w:id="1299456012">
      <w:bodyDiv w:val="1"/>
      <w:marLeft w:val="0"/>
      <w:marRight w:val="0"/>
      <w:marTop w:val="0"/>
      <w:marBottom w:val="0"/>
      <w:divBdr>
        <w:top w:val="none" w:sz="0" w:space="0" w:color="auto"/>
        <w:left w:val="none" w:sz="0" w:space="0" w:color="auto"/>
        <w:bottom w:val="none" w:sz="0" w:space="0" w:color="auto"/>
        <w:right w:val="none" w:sz="0" w:space="0" w:color="auto"/>
      </w:divBdr>
      <w:divsChild>
        <w:div w:id="1599487189">
          <w:marLeft w:val="-720"/>
          <w:marRight w:val="0"/>
          <w:marTop w:val="0"/>
          <w:marBottom w:val="0"/>
          <w:divBdr>
            <w:top w:val="none" w:sz="0" w:space="0" w:color="auto"/>
            <w:left w:val="none" w:sz="0" w:space="0" w:color="auto"/>
            <w:bottom w:val="none" w:sz="0" w:space="0" w:color="auto"/>
            <w:right w:val="none" w:sz="0" w:space="0" w:color="auto"/>
          </w:divBdr>
        </w:div>
      </w:divsChild>
    </w:div>
    <w:div w:id="1300761863">
      <w:bodyDiv w:val="1"/>
      <w:marLeft w:val="0"/>
      <w:marRight w:val="0"/>
      <w:marTop w:val="0"/>
      <w:marBottom w:val="0"/>
      <w:divBdr>
        <w:top w:val="none" w:sz="0" w:space="0" w:color="auto"/>
        <w:left w:val="none" w:sz="0" w:space="0" w:color="auto"/>
        <w:bottom w:val="none" w:sz="0" w:space="0" w:color="auto"/>
        <w:right w:val="none" w:sz="0" w:space="0" w:color="auto"/>
      </w:divBdr>
    </w:div>
    <w:div w:id="1307976749">
      <w:bodyDiv w:val="1"/>
      <w:marLeft w:val="0"/>
      <w:marRight w:val="0"/>
      <w:marTop w:val="0"/>
      <w:marBottom w:val="0"/>
      <w:divBdr>
        <w:top w:val="none" w:sz="0" w:space="0" w:color="auto"/>
        <w:left w:val="none" w:sz="0" w:space="0" w:color="auto"/>
        <w:bottom w:val="none" w:sz="0" w:space="0" w:color="auto"/>
        <w:right w:val="none" w:sz="0" w:space="0" w:color="auto"/>
      </w:divBdr>
    </w:div>
    <w:div w:id="1311982236">
      <w:bodyDiv w:val="1"/>
      <w:marLeft w:val="0"/>
      <w:marRight w:val="0"/>
      <w:marTop w:val="0"/>
      <w:marBottom w:val="0"/>
      <w:divBdr>
        <w:top w:val="none" w:sz="0" w:space="0" w:color="auto"/>
        <w:left w:val="none" w:sz="0" w:space="0" w:color="auto"/>
        <w:bottom w:val="none" w:sz="0" w:space="0" w:color="auto"/>
        <w:right w:val="none" w:sz="0" w:space="0" w:color="auto"/>
      </w:divBdr>
    </w:div>
    <w:div w:id="1314869662">
      <w:bodyDiv w:val="1"/>
      <w:marLeft w:val="0"/>
      <w:marRight w:val="0"/>
      <w:marTop w:val="0"/>
      <w:marBottom w:val="0"/>
      <w:divBdr>
        <w:top w:val="none" w:sz="0" w:space="0" w:color="auto"/>
        <w:left w:val="none" w:sz="0" w:space="0" w:color="auto"/>
        <w:bottom w:val="none" w:sz="0" w:space="0" w:color="auto"/>
        <w:right w:val="none" w:sz="0" w:space="0" w:color="auto"/>
      </w:divBdr>
    </w:div>
    <w:div w:id="1315143336">
      <w:bodyDiv w:val="1"/>
      <w:marLeft w:val="0"/>
      <w:marRight w:val="0"/>
      <w:marTop w:val="0"/>
      <w:marBottom w:val="0"/>
      <w:divBdr>
        <w:top w:val="none" w:sz="0" w:space="0" w:color="auto"/>
        <w:left w:val="none" w:sz="0" w:space="0" w:color="auto"/>
        <w:bottom w:val="none" w:sz="0" w:space="0" w:color="auto"/>
        <w:right w:val="none" w:sz="0" w:space="0" w:color="auto"/>
      </w:divBdr>
    </w:div>
    <w:div w:id="1317033788">
      <w:bodyDiv w:val="1"/>
      <w:marLeft w:val="0"/>
      <w:marRight w:val="0"/>
      <w:marTop w:val="0"/>
      <w:marBottom w:val="0"/>
      <w:divBdr>
        <w:top w:val="none" w:sz="0" w:space="0" w:color="auto"/>
        <w:left w:val="none" w:sz="0" w:space="0" w:color="auto"/>
        <w:bottom w:val="none" w:sz="0" w:space="0" w:color="auto"/>
        <w:right w:val="none" w:sz="0" w:space="0" w:color="auto"/>
      </w:divBdr>
    </w:div>
    <w:div w:id="1330329802">
      <w:bodyDiv w:val="1"/>
      <w:marLeft w:val="0"/>
      <w:marRight w:val="0"/>
      <w:marTop w:val="0"/>
      <w:marBottom w:val="0"/>
      <w:divBdr>
        <w:top w:val="none" w:sz="0" w:space="0" w:color="auto"/>
        <w:left w:val="none" w:sz="0" w:space="0" w:color="auto"/>
        <w:bottom w:val="none" w:sz="0" w:space="0" w:color="auto"/>
        <w:right w:val="none" w:sz="0" w:space="0" w:color="auto"/>
      </w:divBdr>
    </w:div>
    <w:div w:id="1331055718">
      <w:bodyDiv w:val="1"/>
      <w:marLeft w:val="0"/>
      <w:marRight w:val="0"/>
      <w:marTop w:val="0"/>
      <w:marBottom w:val="0"/>
      <w:divBdr>
        <w:top w:val="none" w:sz="0" w:space="0" w:color="auto"/>
        <w:left w:val="none" w:sz="0" w:space="0" w:color="auto"/>
        <w:bottom w:val="none" w:sz="0" w:space="0" w:color="auto"/>
        <w:right w:val="none" w:sz="0" w:space="0" w:color="auto"/>
      </w:divBdr>
    </w:div>
    <w:div w:id="1336683643">
      <w:bodyDiv w:val="1"/>
      <w:marLeft w:val="0"/>
      <w:marRight w:val="0"/>
      <w:marTop w:val="0"/>
      <w:marBottom w:val="0"/>
      <w:divBdr>
        <w:top w:val="none" w:sz="0" w:space="0" w:color="auto"/>
        <w:left w:val="none" w:sz="0" w:space="0" w:color="auto"/>
        <w:bottom w:val="none" w:sz="0" w:space="0" w:color="auto"/>
        <w:right w:val="none" w:sz="0" w:space="0" w:color="auto"/>
      </w:divBdr>
    </w:div>
    <w:div w:id="1339622365">
      <w:bodyDiv w:val="1"/>
      <w:marLeft w:val="0"/>
      <w:marRight w:val="0"/>
      <w:marTop w:val="0"/>
      <w:marBottom w:val="0"/>
      <w:divBdr>
        <w:top w:val="none" w:sz="0" w:space="0" w:color="auto"/>
        <w:left w:val="none" w:sz="0" w:space="0" w:color="auto"/>
        <w:bottom w:val="none" w:sz="0" w:space="0" w:color="auto"/>
        <w:right w:val="none" w:sz="0" w:space="0" w:color="auto"/>
      </w:divBdr>
      <w:divsChild>
        <w:div w:id="1977489892">
          <w:marLeft w:val="0"/>
          <w:marRight w:val="0"/>
          <w:marTop w:val="0"/>
          <w:marBottom w:val="0"/>
          <w:divBdr>
            <w:top w:val="none" w:sz="0" w:space="0" w:color="auto"/>
            <w:left w:val="none" w:sz="0" w:space="0" w:color="auto"/>
            <w:bottom w:val="none" w:sz="0" w:space="0" w:color="auto"/>
            <w:right w:val="none" w:sz="0" w:space="0" w:color="auto"/>
          </w:divBdr>
        </w:div>
      </w:divsChild>
    </w:div>
    <w:div w:id="1341615706">
      <w:bodyDiv w:val="1"/>
      <w:marLeft w:val="0"/>
      <w:marRight w:val="0"/>
      <w:marTop w:val="0"/>
      <w:marBottom w:val="0"/>
      <w:divBdr>
        <w:top w:val="none" w:sz="0" w:space="0" w:color="auto"/>
        <w:left w:val="none" w:sz="0" w:space="0" w:color="auto"/>
        <w:bottom w:val="none" w:sz="0" w:space="0" w:color="auto"/>
        <w:right w:val="none" w:sz="0" w:space="0" w:color="auto"/>
      </w:divBdr>
    </w:div>
    <w:div w:id="1355958175">
      <w:bodyDiv w:val="1"/>
      <w:marLeft w:val="0"/>
      <w:marRight w:val="0"/>
      <w:marTop w:val="0"/>
      <w:marBottom w:val="0"/>
      <w:divBdr>
        <w:top w:val="none" w:sz="0" w:space="0" w:color="auto"/>
        <w:left w:val="none" w:sz="0" w:space="0" w:color="auto"/>
        <w:bottom w:val="none" w:sz="0" w:space="0" w:color="auto"/>
        <w:right w:val="none" w:sz="0" w:space="0" w:color="auto"/>
      </w:divBdr>
    </w:div>
    <w:div w:id="1358848785">
      <w:bodyDiv w:val="1"/>
      <w:marLeft w:val="0"/>
      <w:marRight w:val="0"/>
      <w:marTop w:val="0"/>
      <w:marBottom w:val="0"/>
      <w:divBdr>
        <w:top w:val="none" w:sz="0" w:space="0" w:color="auto"/>
        <w:left w:val="none" w:sz="0" w:space="0" w:color="auto"/>
        <w:bottom w:val="none" w:sz="0" w:space="0" w:color="auto"/>
        <w:right w:val="none" w:sz="0" w:space="0" w:color="auto"/>
      </w:divBdr>
    </w:div>
    <w:div w:id="1370951840">
      <w:bodyDiv w:val="1"/>
      <w:marLeft w:val="0"/>
      <w:marRight w:val="0"/>
      <w:marTop w:val="0"/>
      <w:marBottom w:val="0"/>
      <w:divBdr>
        <w:top w:val="none" w:sz="0" w:space="0" w:color="auto"/>
        <w:left w:val="none" w:sz="0" w:space="0" w:color="auto"/>
        <w:bottom w:val="none" w:sz="0" w:space="0" w:color="auto"/>
        <w:right w:val="none" w:sz="0" w:space="0" w:color="auto"/>
      </w:divBdr>
      <w:divsChild>
        <w:div w:id="431631035">
          <w:marLeft w:val="0"/>
          <w:marRight w:val="0"/>
          <w:marTop w:val="0"/>
          <w:marBottom w:val="0"/>
          <w:divBdr>
            <w:top w:val="none" w:sz="0" w:space="0" w:color="auto"/>
            <w:left w:val="none" w:sz="0" w:space="0" w:color="auto"/>
            <w:bottom w:val="none" w:sz="0" w:space="0" w:color="auto"/>
            <w:right w:val="none" w:sz="0" w:space="0" w:color="auto"/>
          </w:divBdr>
        </w:div>
      </w:divsChild>
    </w:div>
    <w:div w:id="1381173811">
      <w:bodyDiv w:val="1"/>
      <w:marLeft w:val="0"/>
      <w:marRight w:val="0"/>
      <w:marTop w:val="0"/>
      <w:marBottom w:val="0"/>
      <w:divBdr>
        <w:top w:val="none" w:sz="0" w:space="0" w:color="auto"/>
        <w:left w:val="none" w:sz="0" w:space="0" w:color="auto"/>
        <w:bottom w:val="none" w:sz="0" w:space="0" w:color="auto"/>
        <w:right w:val="none" w:sz="0" w:space="0" w:color="auto"/>
      </w:divBdr>
    </w:div>
    <w:div w:id="1383408040">
      <w:bodyDiv w:val="1"/>
      <w:marLeft w:val="0"/>
      <w:marRight w:val="0"/>
      <w:marTop w:val="0"/>
      <w:marBottom w:val="0"/>
      <w:divBdr>
        <w:top w:val="none" w:sz="0" w:space="0" w:color="auto"/>
        <w:left w:val="none" w:sz="0" w:space="0" w:color="auto"/>
        <w:bottom w:val="none" w:sz="0" w:space="0" w:color="auto"/>
        <w:right w:val="none" w:sz="0" w:space="0" w:color="auto"/>
      </w:divBdr>
      <w:divsChild>
        <w:div w:id="143087967">
          <w:marLeft w:val="0"/>
          <w:marRight w:val="0"/>
          <w:marTop w:val="0"/>
          <w:marBottom w:val="0"/>
          <w:divBdr>
            <w:top w:val="none" w:sz="0" w:space="0" w:color="auto"/>
            <w:left w:val="none" w:sz="0" w:space="0" w:color="auto"/>
            <w:bottom w:val="none" w:sz="0" w:space="0" w:color="auto"/>
            <w:right w:val="none" w:sz="0" w:space="0" w:color="auto"/>
          </w:divBdr>
          <w:divsChild>
            <w:div w:id="45225539">
              <w:marLeft w:val="0"/>
              <w:marRight w:val="0"/>
              <w:marTop w:val="0"/>
              <w:marBottom w:val="0"/>
              <w:divBdr>
                <w:top w:val="none" w:sz="0" w:space="0" w:color="auto"/>
                <w:left w:val="none" w:sz="0" w:space="0" w:color="auto"/>
                <w:bottom w:val="none" w:sz="0" w:space="0" w:color="auto"/>
                <w:right w:val="none" w:sz="0" w:space="0" w:color="auto"/>
              </w:divBdr>
            </w:div>
          </w:divsChild>
        </w:div>
        <w:div w:id="691566988">
          <w:marLeft w:val="0"/>
          <w:marRight w:val="0"/>
          <w:marTop w:val="0"/>
          <w:marBottom w:val="0"/>
          <w:divBdr>
            <w:top w:val="none" w:sz="0" w:space="0" w:color="auto"/>
            <w:left w:val="none" w:sz="0" w:space="0" w:color="auto"/>
            <w:bottom w:val="none" w:sz="0" w:space="0" w:color="auto"/>
            <w:right w:val="none" w:sz="0" w:space="0" w:color="auto"/>
          </w:divBdr>
          <w:divsChild>
            <w:div w:id="680207453">
              <w:marLeft w:val="0"/>
              <w:marRight w:val="0"/>
              <w:marTop w:val="0"/>
              <w:marBottom w:val="0"/>
              <w:divBdr>
                <w:top w:val="none" w:sz="0" w:space="0" w:color="auto"/>
                <w:left w:val="none" w:sz="0" w:space="0" w:color="auto"/>
                <w:bottom w:val="none" w:sz="0" w:space="0" w:color="auto"/>
                <w:right w:val="none" w:sz="0" w:space="0" w:color="auto"/>
              </w:divBdr>
            </w:div>
          </w:divsChild>
        </w:div>
        <w:div w:id="1087920576">
          <w:marLeft w:val="0"/>
          <w:marRight w:val="0"/>
          <w:marTop w:val="0"/>
          <w:marBottom w:val="0"/>
          <w:divBdr>
            <w:top w:val="none" w:sz="0" w:space="0" w:color="auto"/>
            <w:left w:val="none" w:sz="0" w:space="0" w:color="auto"/>
            <w:bottom w:val="none" w:sz="0" w:space="0" w:color="auto"/>
            <w:right w:val="none" w:sz="0" w:space="0" w:color="auto"/>
          </w:divBdr>
          <w:divsChild>
            <w:div w:id="782311811">
              <w:marLeft w:val="0"/>
              <w:marRight w:val="0"/>
              <w:marTop w:val="0"/>
              <w:marBottom w:val="0"/>
              <w:divBdr>
                <w:top w:val="none" w:sz="0" w:space="0" w:color="auto"/>
                <w:left w:val="none" w:sz="0" w:space="0" w:color="auto"/>
                <w:bottom w:val="none" w:sz="0" w:space="0" w:color="auto"/>
                <w:right w:val="none" w:sz="0" w:space="0" w:color="auto"/>
              </w:divBdr>
            </w:div>
          </w:divsChild>
        </w:div>
        <w:div w:id="1607152539">
          <w:marLeft w:val="0"/>
          <w:marRight w:val="0"/>
          <w:marTop w:val="0"/>
          <w:marBottom w:val="0"/>
          <w:divBdr>
            <w:top w:val="none" w:sz="0" w:space="0" w:color="auto"/>
            <w:left w:val="none" w:sz="0" w:space="0" w:color="auto"/>
            <w:bottom w:val="none" w:sz="0" w:space="0" w:color="auto"/>
            <w:right w:val="none" w:sz="0" w:space="0" w:color="auto"/>
          </w:divBdr>
          <w:divsChild>
            <w:div w:id="1258095275">
              <w:marLeft w:val="0"/>
              <w:marRight w:val="0"/>
              <w:marTop w:val="0"/>
              <w:marBottom w:val="0"/>
              <w:divBdr>
                <w:top w:val="none" w:sz="0" w:space="0" w:color="auto"/>
                <w:left w:val="none" w:sz="0" w:space="0" w:color="auto"/>
                <w:bottom w:val="none" w:sz="0" w:space="0" w:color="auto"/>
                <w:right w:val="none" w:sz="0" w:space="0" w:color="auto"/>
              </w:divBdr>
            </w:div>
          </w:divsChild>
        </w:div>
        <w:div w:id="1788966952">
          <w:marLeft w:val="0"/>
          <w:marRight w:val="0"/>
          <w:marTop w:val="0"/>
          <w:marBottom w:val="0"/>
          <w:divBdr>
            <w:top w:val="none" w:sz="0" w:space="0" w:color="auto"/>
            <w:left w:val="none" w:sz="0" w:space="0" w:color="auto"/>
            <w:bottom w:val="none" w:sz="0" w:space="0" w:color="auto"/>
            <w:right w:val="none" w:sz="0" w:space="0" w:color="auto"/>
          </w:divBdr>
          <w:divsChild>
            <w:div w:id="402290395">
              <w:marLeft w:val="0"/>
              <w:marRight w:val="0"/>
              <w:marTop w:val="0"/>
              <w:marBottom w:val="0"/>
              <w:divBdr>
                <w:top w:val="none" w:sz="0" w:space="0" w:color="auto"/>
                <w:left w:val="none" w:sz="0" w:space="0" w:color="auto"/>
                <w:bottom w:val="none" w:sz="0" w:space="0" w:color="auto"/>
                <w:right w:val="none" w:sz="0" w:space="0" w:color="auto"/>
              </w:divBdr>
            </w:div>
          </w:divsChild>
        </w:div>
        <w:div w:id="1931423030">
          <w:marLeft w:val="0"/>
          <w:marRight w:val="0"/>
          <w:marTop w:val="0"/>
          <w:marBottom w:val="0"/>
          <w:divBdr>
            <w:top w:val="none" w:sz="0" w:space="0" w:color="auto"/>
            <w:left w:val="none" w:sz="0" w:space="0" w:color="auto"/>
            <w:bottom w:val="none" w:sz="0" w:space="0" w:color="auto"/>
            <w:right w:val="none" w:sz="0" w:space="0" w:color="auto"/>
          </w:divBdr>
          <w:divsChild>
            <w:div w:id="398601065">
              <w:marLeft w:val="0"/>
              <w:marRight w:val="0"/>
              <w:marTop w:val="0"/>
              <w:marBottom w:val="0"/>
              <w:divBdr>
                <w:top w:val="none" w:sz="0" w:space="0" w:color="auto"/>
                <w:left w:val="none" w:sz="0" w:space="0" w:color="auto"/>
                <w:bottom w:val="none" w:sz="0" w:space="0" w:color="auto"/>
                <w:right w:val="none" w:sz="0" w:space="0" w:color="auto"/>
              </w:divBdr>
            </w:div>
          </w:divsChild>
        </w:div>
        <w:div w:id="2033918742">
          <w:marLeft w:val="0"/>
          <w:marRight w:val="0"/>
          <w:marTop w:val="0"/>
          <w:marBottom w:val="0"/>
          <w:divBdr>
            <w:top w:val="none" w:sz="0" w:space="0" w:color="auto"/>
            <w:left w:val="none" w:sz="0" w:space="0" w:color="auto"/>
            <w:bottom w:val="none" w:sz="0" w:space="0" w:color="auto"/>
            <w:right w:val="none" w:sz="0" w:space="0" w:color="auto"/>
          </w:divBdr>
          <w:divsChild>
            <w:div w:id="137523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81488">
      <w:bodyDiv w:val="1"/>
      <w:marLeft w:val="0"/>
      <w:marRight w:val="0"/>
      <w:marTop w:val="0"/>
      <w:marBottom w:val="0"/>
      <w:divBdr>
        <w:top w:val="none" w:sz="0" w:space="0" w:color="auto"/>
        <w:left w:val="none" w:sz="0" w:space="0" w:color="auto"/>
        <w:bottom w:val="none" w:sz="0" w:space="0" w:color="auto"/>
        <w:right w:val="none" w:sz="0" w:space="0" w:color="auto"/>
      </w:divBdr>
      <w:divsChild>
        <w:div w:id="528493176">
          <w:marLeft w:val="0"/>
          <w:marRight w:val="0"/>
          <w:marTop w:val="0"/>
          <w:marBottom w:val="0"/>
          <w:divBdr>
            <w:top w:val="none" w:sz="0" w:space="0" w:color="auto"/>
            <w:left w:val="none" w:sz="0" w:space="0" w:color="auto"/>
            <w:bottom w:val="none" w:sz="0" w:space="0" w:color="auto"/>
            <w:right w:val="none" w:sz="0" w:space="0" w:color="auto"/>
          </w:divBdr>
        </w:div>
        <w:div w:id="1252082885">
          <w:marLeft w:val="0"/>
          <w:marRight w:val="0"/>
          <w:marTop w:val="0"/>
          <w:marBottom w:val="0"/>
          <w:divBdr>
            <w:top w:val="none" w:sz="0" w:space="0" w:color="auto"/>
            <w:left w:val="none" w:sz="0" w:space="0" w:color="auto"/>
            <w:bottom w:val="none" w:sz="0" w:space="0" w:color="auto"/>
            <w:right w:val="none" w:sz="0" w:space="0" w:color="auto"/>
          </w:divBdr>
        </w:div>
        <w:div w:id="1827237725">
          <w:marLeft w:val="0"/>
          <w:marRight w:val="0"/>
          <w:marTop w:val="0"/>
          <w:marBottom w:val="0"/>
          <w:divBdr>
            <w:top w:val="none" w:sz="0" w:space="0" w:color="auto"/>
            <w:left w:val="none" w:sz="0" w:space="0" w:color="auto"/>
            <w:bottom w:val="none" w:sz="0" w:space="0" w:color="auto"/>
            <w:right w:val="none" w:sz="0" w:space="0" w:color="auto"/>
          </w:divBdr>
        </w:div>
      </w:divsChild>
    </w:div>
    <w:div w:id="1386876469">
      <w:bodyDiv w:val="1"/>
      <w:marLeft w:val="0"/>
      <w:marRight w:val="0"/>
      <w:marTop w:val="0"/>
      <w:marBottom w:val="0"/>
      <w:divBdr>
        <w:top w:val="none" w:sz="0" w:space="0" w:color="auto"/>
        <w:left w:val="none" w:sz="0" w:space="0" w:color="auto"/>
        <w:bottom w:val="none" w:sz="0" w:space="0" w:color="auto"/>
        <w:right w:val="none" w:sz="0" w:space="0" w:color="auto"/>
      </w:divBdr>
    </w:div>
    <w:div w:id="1392733579">
      <w:bodyDiv w:val="1"/>
      <w:marLeft w:val="0"/>
      <w:marRight w:val="0"/>
      <w:marTop w:val="0"/>
      <w:marBottom w:val="0"/>
      <w:divBdr>
        <w:top w:val="none" w:sz="0" w:space="0" w:color="auto"/>
        <w:left w:val="none" w:sz="0" w:space="0" w:color="auto"/>
        <w:bottom w:val="none" w:sz="0" w:space="0" w:color="auto"/>
        <w:right w:val="none" w:sz="0" w:space="0" w:color="auto"/>
      </w:divBdr>
    </w:div>
    <w:div w:id="1393507482">
      <w:bodyDiv w:val="1"/>
      <w:marLeft w:val="0"/>
      <w:marRight w:val="0"/>
      <w:marTop w:val="0"/>
      <w:marBottom w:val="0"/>
      <w:divBdr>
        <w:top w:val="none" w:sz="0" w:space="0" w:color="auto"/>
        <w:left w:val="none" w:sz="0" w:space="0" w:color="auto"/>
        <w:bottom w:val="none" w:sz="0" w:space="0" w:color="auto"/>
        <w:right w:val="none" w:sz="0" w:space="0" w:color="auto"/>
      </w:divBdr>
    </w:div>
    <w:div w:id="1406757256">
      <w:bodyDiv w:val="1"/>
      <w:marLeft w:val="0"/>
      <w:marRight w:val="0"/>
      <w:marTop w:val="0"/>
      <w:marBottom w:val="0"/>
      <w:divBdr>
        <w:top w:val="none" w:sz="0" w:space="0" w:color="auto"/>
        <w:left w:val="none" w:sz="0" w:space="0" w:color="auto"/>
        <w:bottom w:val="none" w:sz="0" w:space="0" w:color="auto"/>
        <w:right w:val="none" w:sz="0" w:space="0" w:color="auto"/>
      </w:divBdr>
    </w:div>
    <w:div w:id="1408531333">
      <w:bodyDiv w:val="1"/>
      <w:marLeft w:val="0"/>
      <w:marRight w:val="0"/>
      <w:marTop w:val="0"/>
      <w:marBottom w:val="0"/>
      <w:divBdr>
        <w:top w:val="none" w:sz="0" w:space="0" w:color="auto"/>
        <w:left w:val="none" w:sz="0" w:space="0" w:color="auto"/>
        <w:bottom w:val="none" w:sz="0" w:space="0" w:color="auto"/>
        <w:right w:val="none" w:sz="0" w:space="0" w:color="auto"/>
      </w:divBdr>
    </w:div>
    <w:div w:id="1419475316">
      <w:bodyDiv w:val="1"/>
      <w:marLeft w:val="0"/>
      <w:marRight w:val="0"/>
      <w:marTop w:val="0"/>
      <w:marBottom w:val="0"/>
      <w:divBdr>
        <w:top w:val="none" w:sz="0" w:space="0" w:color="auto"/>
        <w:left w:val="none" w:sz="0" w:space="0" w:color="auto"/>
        <w:bottom w:val="none" w:sz="0" w:space="0" w:color="auto"/>
        <w:right w:val="none" w:sz="0" w:space="0" w:color="auto"/>
      </w:divBdr>
    </w:div>
    <w:div w:id="1426881508">
      <w:bodyDiv w:val="1"/>
      <w:marLeft w:val="0"/>
      <w:marRight w:val="0"/>
      <w:marTop w:val="0"/>
      <w:marBottom w:val="0"/>
      <w:divBdr>
        <w:top w:val="none" w:sz="0" w:space="0" w:color="auto"/>
        <w:left w:val="none" w:sz="0" w:space="0" w:color="auto"/>
        <w:bottom w:val="none" w:sz="0" w:space="0" w:color="auto"/>
        <w:right w:val="none" w:sz="0" w:space="0" w:color="auto"/>
      </w:divBdr>
    </w:div>
    <w:div w:id="1431971952">
      <w:bodyDiv w:val="1"/>
      <w:marLeft w:val="0"/>
      <w:marRight w:val="0"/>
      <w:marTop w:val="0"/>
      <w:marBottom w:val="0"/>
      <w:divBdr>
        <w:top w:val="none" w:sz="0" w:space="0" w:color="auto"/>
        <w:left w:val="none" w:sz="0" w:space="0" w:color="auto"/>
        <w:bottom w:val="none" w:sz="0" w:space="0" w:color="auto"/>
        <w:right w:val="none" w:sz="0" w:space="0" w:color="auto"/>
      </w:divBdr>
    </w:div>
    <w:div w:id="1466657363">
      <w:bodyDiv w:val="1"/>
      <w:marLeft w:val="0"/>
      <w:marRight w:val="0"/>
      <w:marTop w:val="0"/>
      <w:marBottom w:val="0"/>
      <w:divBdr>
        <w:top w:val="none" w:sz="0" w:space="0" w:color="auto"/>
        <w:left w:val="none" w:sz="0" w:space="0" w:color="auto"/>
        <w:bottom w:val="none" w:sz="0" w:space="0" w:color="auto"/>
        <w:right w:val="none" w:sz="0" w:space="0" w:color="auto"/>
      </w:divBdr>
    </w:div>
    <w:div w:id="1474132592">
      <w:bodyDiv w:val="1"/>
      <w:marLeft w:val="0"/>
      <w:marRight w:val="0"/>
      <w:marTop w:val="0"/>
      <w:marBottom w:val="0"/>
      <w:divBdr>
        <w:top w:val="none" w:sz="0" w:space="0" w:color="auto"/>
        <w:left w:val="none" w:sz="0" w:space="0" w:color="auto"/>
        <w:bottom w:val="none" w:sz="0" w:space="0" w:color="auto"/>
        <w:right w:val="none" w:sz="0" w:space="0" w:color="auto"/>
      </w:divBdr>
      <w:divsChild>
        <w:div w:id="1459957205">
          <w:marLeft w:val="0"/>
          <w:marRight w:val="0"/>
          <w:marTop w:val="0"/>
          <w:marBottom w:val="0"/>
          <w:divBdr>
            <w:top w:val="none" w:sz="0" w:space="0" w:color="auto"/>
            <w:left w:val="none" w:sz="0" w:space="0" w:color="auto"/>
            <w:bottom w:val="none" w:sz="0" w:space="0" w:color="auto"/>
            <w:right w:val="none" w:sz="0" w:space="0" w:color="auto"/>
          </w:divBdr>
        </w:div>
      </w:divsChild>
    </w:div>
    <w:div w:id="1484002357">
      <w:bodyDiv w:val="1"/>
      <w:marLeft w:val="0"/>
      <w:marRight w:val="0"/>
      <w:marTop w:val="0"/>
      <w:marBottom w:val="0"/>
      <w:divBdr>
        <w:top w:val="none" w:sz="0" w:space="0" w:color="auto"/>
        <w:left w:val="none" w:sz="0" w:space="0" w:color="auto"/>
        <w:bottom w:val="none" w:sz="0" w:space="0" w:color="auto"/>
        <w:right w:val="none" w:sz="0" w:space="0" w:color="auto"/>
      </w:divBdr>
    </w:div>
    <w:div w:id="1494252716">
      <w:bodyDiv w:val="1"/>
      <w:marLeft w:val="0"/>
      <w:marRight w:val="0"/>
      <w:marTop w:val="0"/>
      <w:marBottom w:val="0"/>
      <w:divBdr>
        <w:top w:val="none" w:sz="0" w:space="0" w:color="auto"/>
        <w:left w:val="none" w:sz="0" w:space="0" w:color="auto"/>
        <w:bottom w:val="none" w:sz="0" w:space="0" w:color="auto"/>
        <w:right w:val="none" w:sz="0" w:space="0" w:color="auto"/>
      </w:divBdr>
    </w:div>
    <w:div w:id="1507481949">
      <w:bodyDiv w:val="1"/>
      <w:marLeft w:val="0"/>
      <w:marRight w:val="0"/>
      <w:marTop w:val="0"/>
      <w:marBottom w:val="0"/>
      <w:divBdr>
        <w:top w:val="none" w:sz="0" w:space="0" w:color="auto"/>
        <w:left w:val="none" w:sz="0" w:space="0" w:color="auto"/>
        <w:bottom w:val="none" w:sz="0" w:space="0" w:color="auto"/>
        <w:right w:val="none" w:sz="0" w:space="0" w:color="auto"/>
      </w:divBdr>
    </w:div>
    <w:div w:id="1508982831">
      <w:bodyDiv w:val="1"/>
      <w:marLeft w:val="0"/>
      <w:marRight w:val="0"/>
      <w:marTop w:val="0"/>
      <w:marBottom w:val="0"/>
      <w:divBdr>
        <w:top w:val="none" w:sz="0" w:space="0" w:color="auto"/>
        <w:left w:val="none" w:sz="0" w:space="0" w:color="auto"/>
        <w:bottom w:val="none" w:sz="0" w:space="0" w:color="auto"/>
        <w:right w:val="none" w:sz="0" w:space="0" w:color="auto"/>
      </w:divBdr>
    </w:div>
    <w:div w:id="1510362843">
      <w:bodyDiv w:val="1"/>
      <w:marLeft w:val="0"/>
      <w:marRight w:val="0"/>
      <w:marTop w:val="0"/>
      <w:marBottom w:val="0"/>
      <w:divBdr>
        <w:top w:val="none" w:sz="0" w:space="0" w:color="auto"/>
        <w:left w:val="none" w:sz="0" w:space="0" w:color="auto"/>
        <w:bottom w:val="none" w:sz="0" w:space="0" w:color="auto"/>
        <w:right w:val="none" w:sz="0" w:space="0" w:color="auto"/>
      </w:divBdr>
    </w:div>
    <w:div w:id="1510950507">
      <w:bodyDiv w:val="1"/>
      <w:marLeft w:val="0"/>
      <w:marRight w:val="0"/>
      <w:marTop w:val="0"/>
      <w:marBottom w:val="0"/>
      <w:divBdr>
        <w:top w:val="none" w:sz="0" w:space="0" w:color="auto"/>
        <w:left w:val="none" w:sz="0" w:space="0" w:color="auto"/>
        <w:bottom w:val="none" w:sz="0" w:space="0" w:color="auto"/>
        <w:right w:val="none" w:sz="0" w:space="0" w:color="auto"/>
      </w:divBdr>
    </w:div>
    <w:div w:id="1516922032">
      <w:bodyDiv w:val="1"/>
      <w:marLeft w:val="0"/>
      <w:marRight w:val="0"/>
      <w:marTop w:val="0"/>
      <w:marBottom w:val="0"/>
      <w:divBdr>
        <w:top w:val="none" w:sz="0" w:space="0" w:color="auto"/>
        <w:left w:val="none" w:sz="0" w:space="0" w:color="auto"/>
        <w:bottom w:val="none" w:sz="0" w:space="0" w:color="auto"/>
        <w:right w:val="none" w:sz="0" w:space="0" w:color="auto"/>
      </w:divBdr>
    </w:div>
    <w:div w:id="1522747087">
      <w:bodyDiv w:val="1"/>
      <w:marLeft w:val="0"/>
      <w:marRight w:val="0"/>
      <w:marTop w:val="0"/>
      <w:marBottom w:val="0"/>
      <w:divBdr>
        <w:top w:val="none" w:sz="0" w:space="0" w:color="auto"/>
        <w:left w:val="none" w:sz="0" w:space="0" w:color="auto"/>
        <w:bottom w:val="none" w:sz="0" w:space="0" w:color="auto"/>
        <w:right w:val="none" w:sz="0" w:space="0" w:color="auto"/>
      </w:divBdr>
    </w:div>
    <w:div w:id="1526212411">
      <w:bodyDiv w:val="1"/>
      <w:marLeft w:val="0"/>
      <w:marRight w:val="0"/>
      <w:marTop w:val="0"/>
      <w:marBottom w:val="0"/>
      <w:divBdr>
        <w:top w:val="none" w:sz="0" w:space="0" w:color="auto"/>
        <w:left w:val="none" w:sz="0" w:space="0" w:color="auto"/>
        <w:bottom w:val="none" w:sz="0" w:space="0" w:color="auto"/>
        <w:right w:val="none" w:sz="0" w:space="0" w:color="auto"/>
      </w:divBdr>
    </w:div>
    <w:div w:id="1528525213">
      <w:bodyDiv w:val="1"/>
      <w:marLeft w:val="0"/>
      <w:marRight w:val="0"/>
      <w:marTop w:val="0"/>
      <w:marBottom w:val="0"/>
      <w:divBdr>
        <w:top w:val="none" w:sz="0" w:space="0" w:color="auto"/>
        <w:left w:val="none" w:sz="0" w:space="0" w:color="auto"/>
        <w:bottom w:val="none" w:sz="0" w:space="0" w:color="auto"/>
        <w:right w:val="none" w:sz="0" w:space="0" w:color="auto"/>
      </w:divBdr>
    </w:div>
    <w:div w:id="1534340275">
      <w:bodyDiv w:val="1"/>
      <w:marLeft w:val="0"/>
      <w:marRight w:val="0"/>
      <w:marTop w:val="0"/>
      <w:marBottom w:val="0"/>
      <w:divBdr>
        <w:top w:val="none" w:sz="0" w:space="0" w:color="auto"/>
        <w:left w:val="none" w:sz="0" w:space="0" w:color="auto"/>
        <w:bottom w:val="none" w:sz="0" w:space="0" w:color="auto"/>
        <w:right w:val="none" w:sz="0" w:space="0" w:color="auto"/>
      </w:divBdr>
    </w:div>
    <w:div w:id="1549957004">
      <w:bodyDiv w:val="1"/>
      <w:marLeft w:val="0"/>
      <w:marRight w:val="0"/>
      <w:marTop w:val="0"/>
      <w:marBottom w:val="0"/>
      <w:divBdr>
        <w:top w:val="none" w:sz="0" w:space="0" w:color="auto"/>
        <w:left w:val="none" w:sz="0" w:space="0" w:color="auto"/>
        <w:bottom w:val="none" w:sz="0" w:space="0" w:color="auto"/>
        <w:right w:val="none" w:sz="0" w:space="0" w:color="auto"/>
      </w:divBdr>
    </w:div>
    <w:div w:id="1590655744">
      <w:bodyDiv w:val="1"/>
      <w:marLeft w:val="0"/>
      <w:marRight w:val="0"/>
      <w:marTop w:val="0"/>
      <w:marBottom w:val="0"/>
      <w:divBdr>
        <w:top w:val="none" w:sz="0" w:space="0" w:color="auto"/>
        <w:left w:val="none" w:sz="0" w:space="0" w:color="auto"/>
        <w:bottom w:val="none" w:sz="0" w:space="0" w:color="auto"/>
        <w:right w:val="none" w:sz="0" w:space="0" w:color="auto"/>
      </w:divBdr>
    </w:div>
    <w:div w:id="1590963942">
      <w:bodyDiv w:val="1"/>
      <w:marLeft w:val="0"/>
      <w:marRight w:val="0"/>
      <w:marTop w:val="0"/>
      <w:marBottom w:val="0"/>
      <w:divBdr>
        <w:top w:val="none" w:sz="0" w:space="0" w:color="auto"/>
        <w:left w:val="none" w:sz="0" w:space="0" w:color="auto"/>
        <w:bottom w:val="none" w:sz="0" w:space="0" w:color="auto"/>
        <w:right w:val="none" w:sz="0" w:space="0" w:color="auto"/>
      </w:divBdr>
    </w:div>
    <w:div w:id="1599872157">
      <w:bodyDiv w:val="1"/>
      <w:marLeft w:val="0"/>
      <w:marRight w:val="0"/>
      <w:marTop w:val="0"/>
      <w:marBottom w:val="0"/>
      <w:divBdr>
        <w:top w:val="none" w:sz="0" w:space="0" w:color="auto"/>
        <w:left w:val="none" w:sz="0" w:space="0" w:color="auto"/>
        <w:bottom w:val="none" w:sz="0" w:space="0" w:color="auto"/>
        <w:right w:val="none" w:sz="0" w:space="0" w:color="auto"/>
      </w:divBdr>
    </w:div>
    <w:div w:id="1609583678">
      <w:bodyDiv w:val="1"/>
      <w:marLeft w:val="0"/>
      <w:marRight w:val="0"/>
      <w:marTop w:val="0"/>
      <w:marBottom w:val="0"/>
      <w:divBdr>
        <w:top w:val="none" w:sz="0" w:space="0" w:color="auto"/>
        <w:left w:val="none" w:sz="0" w:space="0" w:color="auto"/>
        <w:bottom w:val="none" w:sz="0" w:space="0" w:color="auto"/>
        <w:right w:val="none" w:sz="0" w:space="0" w:color="auto"/>
      </w:divBdr>
    </w:div>
    <w:div w:id="1636526004">
      <w:bodyDiv w:val="1"/>
      <w:marLeft w:val="0"/>
      <w:marRight w:val="0"/>
      <w:marTop w:val="0"/>
      <w:marBottom w:val="0"/>
      <w:divBdr>
        <w:top w:val="none" w:sz="0" w:space="0" w:color="auto"/>
        <w:left w:val="none" w:sz="0" w:space="0" w:color="auto"/>
        <w:bottom w:val="none" w:sz="0" w:space="0" w:color="auto"/>
        <w:right w:val="none" w:sz="0" w:space="0" w:color="auto"/>
      </w:divBdr>
    </w:div>
    <w:div w:id="1639068192">
      <w:bodyDiv w:val="1"/>
      <w:marLeft w:val="0"/>
      <w:marRight w:val="0"/>
      <w:marTop w:val="0"/>
      <w:marBottom w:val="0"/>
      <w:divBdr>
        <w:top w:val="none" w:sz="0" w:space="0" w:color="auto"/>
        <w:left w:val="none" w:sz="0" w:space="0" w:color="auto"/>
        <w:bottom w:val="none" w:sz="0" w:space="0" w:color="auto"/>
        <w:right w:val="none" w:sz="0" w:space="0" w:color="auto"/>
      </w:divBdr>
    </w:div>
    <w:div w:id="1646858266">
      <w:bodyDiv w:val="1"/>
      <w:marLeft w:val="0"/>
      <w:marRight w:val="0"/>
      <w:marTop w:val="0"/>
      <w:marBottom w:val="0"/>
      <w:divBdr>
        <w:top w:val="none" w:sz="0" w:space="0" w:color="auto"/>
        <w:left w:val="none" w:sz="0" w:space="0" w:color="auto"/>
        <w:bottom w:val="none" w:sz="0" w:space="0" w:color="auto"/>
        <w:right w:val="none" w:sz="0" w:space="0" w:color="auto"/>
      </w:divBdr>
    </w:div>
    <w:div w:id="1650398971">
      <w:bodyDiv w:val="1"/>
      <w:marLeft w:val="0"/>
      <w:marRight w:val="0"/>
      <w:marTop w:val="0"/>
      <w:marBottom w:val="0"/>
      <w:divBdr>
        <w:top w:val="none" w:sz="0" w:space="0" w:color="auto"/>
        <w:left w:val="none" w:sz="0" w:space="0" w:color="auto"/>
        <w:bottom w:val="none" w:sz="0" w:space="0" w:color="auto"/>
        <w:right w:val="none" w:sz="0" w:space="0" w:color="auto"/>
      </w:divBdr>
    </w:div>
    <w:div w:id="1671443537">
      <w:bodyDiv w:val="1"/>
      <w:marLeft w:val="0"/>
      <w:marRight w:val="0"/>
      <w:marTop w:val="0"/>
      <w:marBottom w:val="0"/>
      <w:divBdr>
        <w:top w:val="none" w:sz="0" w:space="0" w:color="auto"/>
        <w:left w:val="none" w:sz="0" w:space="0" w:color="auto"/>
        <w:bottom w:val="none" w:sz="0" w:space="0" w:color="auto"/>
        <w:right w:val="none" w:sz="0" w:space="0" w:color="auto"/>
      </w:divBdr>
    </w:div>
    <w:div w:id="1673986776">
      <w:bodyDiv w:val="1"/>
      <w:marLeft w:val="0"/>
      <w:marRight w:val="0"/>
      <w:marTop w:val="0"/>
      <w:marBottom w:val="0"/>
      <w:divBdr>
        <w:top w:val="none" w:sz="0" w:space="0" w:color="auto"/>
        <w:left w:val="none" w:sz="0" w:space="0" w:color="auto"/>
        <w:bottom w:val="none" w:sz="0" w:space="0" w:color="auto"/>
        <w:right w:val="none" w:sz="0" w:space="0" w:color="auto"/>
      </w:divBdr>
    </w:div>
    <w:div w:id="1681197634">
      <w:bodyDiv w:val="1"/>
      <w:marLeft w:val="0"/>
      <w:marRight w:val="0"/>
      <w:marTop w:val="0"/>
      <w:marBottom w:val="0"/>
      <w:divBdr>
        <w:top w:val="none" w:sz="0" w:space="0" w:color="auto"/>
        <w:left w:val="none" w:sz="0" w:space="0" w:color="auto"/>
        <w:bottom w:val="none" w:sz="0" w:space="0" w:color="auto"/>
        <w:right w:val="none" w:sz="0" w:space="0" w:color="auto"/>
      </w:divBdr>
    </w:div>
    <w:div w:id="1683898486">
      <w:bodyDiv w:val="1"/>
      <w:marLeft w:val="0"/>
      <w:marRight w:val="0"/>
      <w:marTop w:val="0"/>
      <w:marBottom w:val="0"/>
      <w:divBdr>
        <w:top w:val="none" w:sz="0" w:space="0" w:color="auto"/>
        <w:left w:val="none" w:sz="0" w:space="0" w:color="auto"/>
        <w:bottom w:val="none" w:sz="0" w:space="0" w:color="auto"/>
        <w:right w:val="none" w:sz="0" w:space="0" w:color="auto"/>
      </w:divBdr>
    </w:div>
    <w:div w:id="1694458056">
      <w:bodyDiv w:val="1"/>
      <w:marLeft w:val="0"/>
      <w:marRight w:val="0"/>
      <w:marTop w:val="0"/>
      <w:marBottom w:val="0"/>
      <w:divBdr>
        <w:top w:val="none" w:sz="0" w:space="0" w:color="auto"/>
        <w:left w:val="none" w:sz="0" w:space="0" w:color="auto"/>
        <w:bottom w:val="none" w:sz="0" w:space="0" w:color="auto"/>
        <w:right w:val="none" w:sz="0" w:space="0" w:color="auto"/>
      </w:divBdr>
    </w:div>
    <w:div w:id="1703552384">
      <w:bodyDiv w:val="1"/>
      <w:marLeft w:val="0"/>
      <w:marRight w:val="0"/>
      <w:marTop w:val="0"/>
      <w:marBottom w:val="0"/>
      <w:divBdr>
        <w:top w:val="none" w:sz="0" w:space="0" w:color="auto"/>
        <w:left w:val="none" w:sz="0" w:space="0" w:color="auto"/>
        <w:bottom w:val="none" w:sz="0" w:space="0" w:color="auto"/>
        <w:right w:val="none" w:sz="0" w:space="0" w:color="auto"/>
      </w:divBdr>
    </w:div>
    <w:div w:id="1705984782">
      <w:bodyDiv w:val="1"/>
      <w:marLeft w:val="0"/>
      <w:marRight w:val="0"/>
      <w:marTop w:val="0"/>
      <w:marBottom w:val="0"/>
      <w:divBdr>
        <w:top w:val="none" w:sz="0" w:space="0" w:color="auto"/>
        <w:left w:val="none" w:sz="0" w:space="0" w:color="auto"/>
        <w:bottom w:val="none" w:sz="0" w:space="0" w:color="auto"/>
        <w:right w:val="none" w:sz="0" w:space="0" w:color="auto"/>
      </w:divBdr>
    </w:div>
    <w:div w:id="1707680225">
      <w:bodyDiv w:val="1"/>
      <w:marLeft w:val="0"/>
      <w:marRight w:val="0"/>
      <w:marTop w:val="0"/>
      <w:marBottom w:val="0"/>
      <w:divBdr>
        <w:top w:val="none" w:sz="0" w:space="0" w:color="auto"/>
        <w:left w:val="none" w:sz="0" w:space="0" w:color="auto"/>
        <w:bottom w:val="none" w:sz="0" w:space="0" w:color="auto"/>
        <w:right w:val="none" w:sz="0" w:space="0" w:color="auto"/>
      </w:divBdr>
    </w:div>
    <w:div w:id="1709337604">
      <w:bodyDiv w:val="1"/>
      <w:marLeft w:val="0"/>
      <w:marRight w:val="0"/>
      <w:marTop w:val="0"/>
      <w:marBottom w:val="0"/>
      <w:divBdr>
        <w:top w:val="none" w:sz="0" w:space="0" w:color="auto"/>
        <w:left w:val="none" w:sz="0" w:space="0" w:color="auto"/>
        <w:bottom w:val="none" w:sz="0" w:space="0" w:color="auto"/>
        <w:right w:val="none" w:sz="0" w:space="0" w:color="auto"/>
      </w:divBdr>
    </w:div>
    <w:div w:id="1713384752">
      <w:bodyDiv w:val="1"/>
      <w:marLeft w:val="0"/>
      <w:marRight w:val="0"/>
      <w:marTop w:val="0"/>
      <w:marBottom w:val="0"/>
      <w:divBdr>
        <w:top w:val="none" w:sz="0" w:space="0" w:color="auto"/>
        <w:left w:val="none" w:sz="0" w:space="0" w:color="auto"/>
        <w:bottom w:val="none" w:sz="0" w:space="0" w:color="auto"/>
        <w:right w:val="none" w:sz="0" w:space="0" w:color="auto"/>
      </w:divBdr>
      <w:divsChild>
        <w:div w:id="2035382139">
          <w:marLeft w:val="0"/>
          <w:marRight w:val="0"/>
          <w:marTop w:val="0"/>
          <w:marBottom w:val="0"/>
          <w:divBdr>
            <w:top w:val="none" w:sz="0" w:space="0" w:color="auto"/>
            <w:left w:val="none" w:sz="0" w:space="0" w:color="auto"/>
            <w:bottom w:val="none" w:sz="0" w:space="0" w:color="auto"/>
            <w:right w:val="none" w:sz="0" w:space="0" w:color="auto"/>
          </w:divBdr>
        </w:div>
      </w:divsChild>
    </w:div>
    <w:div w:id="1723096490">
      <w:bodyDiv w:val="1"/>
      <w:marLeft w:val="0"/>
      <w:marRight w:val="0"/>
      <w:marTop w:val="0"/>
      <w:marBottom w:val="0"/>
      <w:divBdr>
        <w:top w:val="none" w:sz="0" w:space="0" w:color="auto"/>
        <w:left w:val="none" w:sz="0" w:space="0" w:color="auto"/>
        <w:bottom w:val="none" w:sz="0" w:space="0" w:color="auto"/>
        <w:right w:val="none" w:sz="0" w:space="0" w:color="auto"/>
      </w:divBdr>
      <w:divsChild>
        <w:div w:id="1108231682">
          <w:marLeft w:val="-720"/>
          <w:marRight w:val="0"/>
          <w:marTop w:val="0"/>
          <w:marBottom w:val="0"/>
          <w:divBdr>
            <w:top w:val="none" w:sz="0" w:space="0" w:color="auto"/>
            <w:left w:val="none" w:sz="0" w:space="0" w:color="auto"/>
            <w:bottom w:val="none" w:sz="0" w:space="0" w:color="auto"/>
            <w:right w:val="none" w:sz="0" w:space="0" w:color="auto"/>
          </w:divBdr>
        </w:div>
      </w:divsChild>
    </w:div>
    <w:div w:id="1735935685">
      <w:bodyDiv w:val="1"/>
      <w:marLeft w:val="0"/>
      <w:marRight w:val="0"/>
      <w:marTop w:val="0"/>
      <w:marBottom w:val="0"/>
      <w:divBdr>
        <w:top w:val="none" w:sz="0" w:space="0" w:color="auto"/>
        <w:left w:val="none" w:sz="0" w:space="0" w:color="auto"/>
        <w:bottom w:val="none" w:sz="0" w:space="0" w:color="auto"/>
        <w:right w:val="none" w:sz="0" w:space="0" w:color="auto"/>
      </w:divBdr>
    </w:div>
    <w:div w:id="1743061697">
      <w:bodyDiv w:val="1"/>
      <w:marLeft w:val="0"/>
      <w:marRight w:val="0"/>
      <w:marTop w:val="0"/>
      <w:marBottom w:val="0"/>
      <w:divBdr>
        <w:top w:val="none" w:sz="0" w:space="0" w:color="auto"/>
        <w:left w:val="none" w:sz="0" w:space="0" w:color="auto"/>
        <w:bottom w:val="none" w:sz="0" w:space="0" w:color="auto"/>
        <w:right w:val="none" w:sz="0" w:space="0" w:color="auto"/>
      </w:divBdr>
    </w:div>
    <w:div w:id="1752584944">
      <w:bodyDiv w:val="1"/>
      <w:marLeft w:val="0"/>
      <w:marRight w:val="0"/>
      <w:marTop w:val="0"/>
      <w:marBottom w:val="0"/>
      <w:divBdr>
        <w:top w:val="none" w:sz="0" w:space="0" w:color="auto"/>
        <w:left w:val="none" w:sz="0" w:space="0" w:color="auto"/>
        <w:bottom w:val="none" w:sz="0" w:space="0" w:color="auto"/>
        <w:right w:val="none" w:sz="0" w:space="0" w:color="auto"/>
      </w:divBdr>
    </w:div>
    <w:div w:id="1754207291">
      <w:bodyDiv w:val="1"/>
      <w:marLeft w:val="0"/>
      <w:marRight w:val="0"/>
      <w:marTop w:val="0"/>
      <w:marBottom w:val="0"/>
      <w:divBdr>
        <w:top w:val="none" w:sz="0" w:space="0" w:color="auto"/>
        <w:left w:val="none" w:sz="0" w:space="0" w:color="auto"/>
        <w:bottom w:val="none" w:sz="0" w:space="0" w:color="auto"/>
        <w:right w:val="none" w:sz="0" w:space="0" w:color="auto"/>
      </w:divBdr>
    </w:div>
    <w:div w:id="1755589146">
      <w:bodyDiv w:val="1"/>
      <w:marLeft w:val="0"/>
      <w:marRight w:val="0"/>
      <w:marTop w:val="0"/>
      <w:marBottom w:val="0"/>
      <w:divBdr>
        <w:top w:val="none" w:sz="0" w:space="0" w:color="auto"/>
        <w:left w:val="none" w:sz="0" w:space="0" w:color="auto"/>
        <w:bottom w:val="none" w:sz="0" w:space="0" w:color="auto"/>
        <w:right w:val="none" w:sz="0" w:space="0" w:color="auto"/>
      </w:divBdr>
    </w:div>
    <w:div w:id="1757626785">
      <w:bodyDiv w:val="1"/>
      <w:marLeft w:val="0"/>
      <w:marRight w:val="0"/>
      <w:marTop w:val="0"/>
      <w:marBottom w:val="0"/>
      <w:divBdr>
        <w:top w:val="none" w:sz="0" w:space="0" w:color="auto"/>
        <w:left w:val="none" w:sz="0" w:space="0" w:color="auto"/>
        <w:bottom w:val="none" w:sz="0" w:space="0" w:color="auto"/>
        <w:right w:val="none" w:sz="0" w:space="0" w:color="auto"/>
      </w:divBdr>
      <w:divsChild>
        <w:div w:id="383916934">
          <w:marLeft w:val="0"/>
          <w:marRight w:val="0"/>
          <w:marTop w:val="0"/>
          <w:marBottom w:val="0"/>
          <w:divBdr>
            <w:top w:val="none" w:sz="0" w:space="0" w:color="auto"/>
            <w:left w:val="none" w:sz="0" w:space="0" w:color="auto"/>
            <w:bottom w:val="none" w:sz="0" w:space="0" w:color="auto"/>
            <w:right w:val="none" w:sz="0" w:space="0" w:color="auto"/>
          </w:divBdr>
        </w:div>
      </w:divsChild>
    </w:div>
    <w:div w:id="1763646067">
      <w:bodyDiv w:val="1"/>
      <w:marLeft w:val="0"/>
      <w:marRight w:val="0"/>
      <w:marTop w:val="0"/>
      <w:marBottom w:val="0"/>
      <w:divBdr>
        <w:top w:val="none" w:sz="0" w:space="0" w:color="auto"/>
        <w:left w:val="none" w:sz="0" w:space="0" w:color="auto"/>
        <w:bottom w:val="none" w:sz="0" w:space="0" w:color="auto"/>
        <w:right w:val="none" w:sz="0" w:space="0" w:color="auto"/>
      </w:divBdr>
    </w:div>
    <w:div w:id="1769421426">
      <w:bodyDiv w:val="1"/>
      <w:marLeft w:val="0"/>
      <w:marRight w:val="0"/>
      <w:marTop w:val="0"/>
      <w:marBottom w:val="0"/>
      <w:divBdr>
        <w:top w:val="none" w:sz="0" w:space="0" w:color="auto"/>
        <w:left w:val="none" w:sz="0" w:space="0" w:color="auto"/>
        <w:bottom w:val="none" w:sz="0" w:space="0" w:color="auto"/>
        <w:right w:val="none" w:sz="0" w:space="0" w:color="auto"/>
      </w:divBdr>
    </w:div>
    <w:div w:id="1771510652">
      <w:bodyDiv w:val="1"/>
      <w:marLeft w:val="0"/>
      <w:marRight w:val="0"/>
      <w:marTop w:val="0"/>
      <w:marBottom w:val="0"/>
      <w:divBdr>
        <w:top w:val="none" w:sz="0" w:space="0" w:color="auto"/>
        <w:left w:val="none" w:sz="0" w:space="0" w:color="auto"/>
        <w:bottom w:val="none" w:sz="0" w:space="0" w:color="auto"/>
        <w:right w:val="none" w:sz="0" w:space="0" w:color="auto"/>
      </w:divBdr>
    </w:div>
    <w:div w:id="1776246638">
      <w:bodyDiv w:val="1"/>
      <w:marLeft w:val="0"/>
      <w:marRight w:val="0"/>
      <w:marTop w:val="0"/>
      <w:marBottom w:val="0"/>
      <w:divBdr>
        <w:top w:val="none" w:sz="0" w:space="0" w:color="auto"/>
        <w:left w:val="none" w:sz="0" w:space="0" w:color="auto"/>
        <w:bottom w:val="none" w:sz="0" w:space="0" w:color="auto"/>
        <w:right w:val="none" w:sz="0" w:space="0" w:color="auto"/>
      </w:divBdr>
    </w:div>
    <w:div w:id="1786582454">
      <w:bodyDiv w:val="1"/>
      <w:marLeft w:val="0"/>
      <w:marRight w:val="0"/>
      <w:marTop w:val="0"/>
      <w:marBottom w:val="0"/>
      <w:divBdr>
        <w:top w:val="none" w:sz="0" w:space="0" w:color="auto"/>
        <w:left w:val="none" w:sz="0" w:space="0" w:color="auto"/>
        <w:bottom w:val="none" w:sz="0" w:space="0" w:color="auto"/>
        <w:right w:val="none" w:sz="0" w:space="0" w:color="auto"/>
      </w:divBdr>
    </w:div>
    <w:div w:id="1787314675">
      <w:bodyDiv w:val="1"/>
      <w:marLeft w:val="0"/>
      <w:marRight w:val="0"/>
      <w:marTop w:val="0"/>
      <w:marBottom w:val="0"/>
      <w:divBdr>
        <w:top w:val="none" w:sz="0" w:space="0" w:color="auto"/>
        <w:left w:val="none" w:sz="0" w:space="0" w:color="auto"/>
        <w:bottom w:val="none" w:sz="0" w:space="0" w:color="auto"/>
        <w:right w:val="none" w:sz="0" w:space="0" w:color="auto"/>
      </w:divBdr>
      <w:divsChild>
        <w:div w:id="82073325">
          <w:marLeft w:val="0"/>
          <w:marRight w:val="0"/>
          <w:marTop w:val="0"/>
          <w:marBottom w:val="0"/>
          <w:divBdr>
            <w:top w:val="none" w:sz="0" w:space="0" w:color="auto"/>
            <w:left w:val="none" w:sz="0" w:space="0" w:color="auto"/>
            <w:bottom w:val="none" w:sz="0" w:space="0" w:color="auto"/>
            <w:right w:val="none" w:sz="0" w:space="0" w:color="auto"/>
          </w:divBdr>
        </w:div>
      </w:divsChild>
    </w:div>
    <w:div w:id="1788234782">
      <w:bodyDiv w:val="1"/>
      <w:marLeft w:val="0"/>
      <w:marRight w:val="0"/>
      <w:marTop w:val="0"/>
      <w:marBottom w:val="0"/>
      <w:divBdr>
        <w:top w:val="none" w:sz="0" w:space="0" w:color="auto"/>
        <w:left w:val="none" w:sz="0" w:space="0" w:color="auto"/>
        <w:bottom w:val="none" w:sz="0" w:space="0" w:color="auto"/>
        <w:right w:val="none" w:sz="0" w:space="0" w:color="auto"/>
      </w:divBdr>
    </w:div>
    <w:div w:id="1795248206">
      <w:bodyDiv w:val="1"/>
      <w:marLeft w:val="0"/>
      <w:marRight w:val="0"/>
      <w:marTop w:val="0"/>
      <w:marBottom w:val="0"/>
      <w:divBdr>
        <w:top w:val="none" w:sz="0" w:space="0" w:color="auto"/>
        <w:left w:val="none" w:sz="0" w:space="0" w:color="auto"/>
        <w:bottom w:val="none" w:sz="0" w:space="0" w:color="auto"/>
        <w:right w:val="none" w:sz="0" w:space="0" w:color="auto"/>
      </w:divBdr>
    </w:div>
    <w:div w:id="1801075613">
      <w:bodyDiv w:val="1"/>
      <w:marLeft w:val="0"/>
      <w:marRight w:val="0"/>
      <w:marTop w:val="0"/>
      <w:marBottom w:val="0"/>
      <w:divBdr>
        <w:top w:val="none" w:sz="0" w:space="0" w:color="auto"/>
        <w:left w:val="none" w:sz="0" w:space="0" w:color="auto"/>
        <w:bottom w:val="none" w:sz="0" w:space="0" w:color="auto"/>
        <w:right w:val="none" w:sz="0" w:space="0" w:color="auto"/>
      </w:divBdr>
      <w:divsChild>
        <w:div w:id="1428500970">
          <w:marLeft w:val="0"/>
          <w:marRight w:val="0"/>
          <w:marTop w:val="0"/>
          <w:marBottom w:val="0"/>
          <w:divBdr>
            <w:top w:val="none" w:sz="0" w:space="0" w:color="auto"/>
            <w:left w:val="none" w:sz="0" w:space="0" w:color="auto"/>
            <w:bottom w:val="none" w:sz="0" w:space="0" w:color="auto"/>
            <w:right w:val="none" w:sz="0" w:space="0" w:color="auto"/>
          </w:divBdr>
        </w:div>
      </w:divsChild>
    </w:div>
    <w:div w:id="1802730249">
      <w:bodyDiv w:val="1"/>
      <w:marLeft w:val="0"/>
      <w:marRight w:val="0"/>
      <w:marTop w:val="0"/>
      <w:marBottom w:val="0"/>
      <w:divBdr>
        <w:top w:val="none" w:sz="0" w:space="0" w:color="auto"/>
        <w:left w:val="none" w:sz="0" w:space="0" w:color="auto"/>
        <w:bottom w:val="none" w:sz="0" w:space="0" w:color="auto"/>
        <w:right w:val="none" w:sz="0" w:space="0" w:color="auto"/>
      </w:divBdr>
    </w:div>
    <w:div w:id="1806121924">
      <w:bodyDiv w:val="1"/>
      <w:marLeft w:val="0"/>
      <w:marRight w:val="0"/>
      <w:marTop w:val="0"/>
      <w:marBottom w:val="0"/>
      <w:divBdr>
        <w:top w:val="none" w:sz="0" w:space="0" w:color="auto"/>
        <w:left w:val="none" w:sz="0" w:space="0" w:color="auto"/>
        <w:bottom w:val="none" w:sz="0" w:space="0" w:color="auto"/>
        <w:right w:val="none" w:sz="0" w:space="0" w:color="auto"/>
      </w:divBdr>
      <w:divsChild>
        <w:div w:id="1739785756">
          <w:marLeft w:val="-720"/>
          <w:marRight w:val="0"/>
          <w:marTop w:val="0"/>
          <w:marBottom w:val="0"/>
          <w:divBdr>
            <w:top w:val="none" w:sz="0" w:space="0" w:color="auto"/>
            <w:left w:val="none" w:sz="0" w:space="0" w:color="auto"/>
            <w:bottom w:val="none" w:sz="0" w:space="0" w:color="auto"/>
            <w:right w:val="none" w:sz="0" w:space="0" w:color="auto"/>
          </w:divBdr>
        </w:div>
      </w:divsChild>
    </w:div>
    <w:div w:id="1810973790">
      <w:bodyDiv w:val="1"/>
      <w:marLeft w:val="0"/>
      <w:marRight w:val="0"/>
      <w:marTop w:val="0"/>
      <w:marBottom w:val="0"/>
      <w:divBdr>
        <w:top w:val="none" w:sz="0" w:space="0" w:color="auto"/>
        <w:left w:val="none" w:sz="0" w:space="0" w:color="auto"/>
        <w:bottom w:val="none" w:sz="0" w:space="0" w:color="auto"/>
        <w:right w:val="none" w:sz="0" w:space="0" w:color="auto"/>
      </w:divBdr>
    </w:div>
    <w:div w:id="1824589220">
      <w:bodyDiv w:val="1"/>
      <w:marLeft w:val="0"/>
      <w:marRight w:val="0"/>
      <w:marTop w:val="0"/>
      <w:marBottom w:val="0"/>
      <w:divBdr>
        <w:top w:val="none" w:sz="0" w:space="0" w:color="auto"/>
        <w:left w:val="none" w:sz="0" w:space="0" w:color="auto"/>
        <w:bottom w:val="none" w:sz="0" w:space="0" w:color="auto"/>
        <w:right w:val="none" w:sz="0" w:space="0" w:color="auto"/>
      </w:divBdr>
    </w:div>
    <w:div w:id="1825194503">
      <w:bodyDiv w:val="1"/>
      <w:marLeft w:val="0"/>
      <w:marRight w:val="0"/>
      <w:marTop w:val="0"/>
      <w:marBottom w:val="0"/>
      <w:divBdr>
        <w:top w:val="none" w:sz="0" w:space="0" w:color="auto"/>
        <w:left w:val="none" w:sz="0" w:space="0" w:color="auto"/>
        <w:bottom w:val="none" w:sz="0" w:space="0" w:color="auto"/>
        <w:right w:val="none" w:sz="0" w:space="0" w:color="auto"/>
      </w:divBdr>
    </w:div>
    <w:div w:id="1830173309">
      <w:bodyDiv w:val="1"/>
      <w:marLeft w:val="0"/>
      <w:marRight w:val="0"/>
      <w:marTop w:val="0"/>
      <w:marBottom w:val="0"/>
      <w:divBdr>
        <w:top w:val="none" w:sz="0" w:space="0" w:color="auto"/>
        <w:left w:val="none" w:sz="0" w:space="0" w:color="auto"/>
        <w:bottom w:val="none" w:sz="0" w:space="0" w:color="auto"/>
        <w:right w:val="none" w:sz="0" w:space="0" w:color="auto"/>
      </w:divBdr>
      <w:divsChild>
        <w:div w:id="350424044">
          <w:marLeft w:val="0"/>
          <w:marRight w:val="0"/>
          <w:marTop w:val="0"/>
          <w:marBottom w:val="0"/>
          <w:divBdr>
            <w:top w:val="none" w:sz="0" w:space="0" w:color="auto"/>
            <w:left w:val="none" w:sz="0" w:space="0" w:color="auto"/>
            <w:bottom w:val="none" w:sz="0" w:space="0" w:color="auto"/>
            <w:right w:val="none" w:sz="0" w:space="0" w:color="auto"/>
          </w:divBdr>
        </w:div>
      </w:divsChild>
    </w:div>
    <w:div w:id="1835342409">
      <w:bodyDiv w:val="1"/>
      <w:marLeft w:val="0"/>
      <w:marRight w:val="0"/>
      <w:marTop w:val="0"/>
      <w:marBottom w:val="0"/>
      <w:divBdr>
        <w:top w:val="none" w:sz="0" w:space="0" w:color="auto"/>
        <w:left w:val="none" w:sz="0" w:space="0" w:color="auto"/>
        <w:bottom w:val="none" w:sz="0" w:space="0" w:color="auto"/>
        <w:right w:val="none" w:sz="0" w:space="0" w:color="auto"/>
      </w:divBdr>
    </w:div>
    <w:div w:id="1851482455">
      <w:bodyDiv w:val="1"/>
      <w:marLeft w:val="0"/>
      <w:marRight w:val="0"/>
      <w:marTop w:val="0"/>
      <w:marBottom w:val="0"/>
      <w:divBdr>
        <w:top w:val="none" w:sz="0" w:space="0" w:color="auto"/>
        <w:left w:val="none" w:sz="0" w:space="0" w:color="auto"/>
        <w:bottom w:val="none" w:sz="0" w:space="0" w:color="auto"/>
        <w:right w:val="none" w:sz="0" w:space="0" w:color="auto"/>
      </w:divBdr>
    </w:div>
    <w:div w:id="1855026274">
      <w:bodyDiv w:val="1"/>
      <w:marLeft w:val="0"/>
      <w:marRight w:val="0"/>
      <w:marTop w:val="0"/>
      <w:marBottom w:val="0"/>
      <w:divBdr>
        <w:top w:val="none" w:sz="0" w:space="0" w:color="auto"/>
        <w:left w:val="none" w:sz="0" w:space="0" w:color="auto"/>
        <w:bottom w:val="none" w:sz="0" w:space="0" w:color="auto"/>
        <w:right w:val="none" w:sz="0" w:space="0" w:color="auto"/>
      </w:divBdr>
    </w:div>
    <w:div w:id="1862664216">
      <w:bodyDiv w:val="1"/>
      <w:marLeft w:val="0"/>
      <w:marRight w:val="0"/>
      <w:marTop w:val="0"/>
      <w:marBottom w:val="0"/>
      <w:divBdr>
        <w:top w:val="none" w:sz="0" w:space="0" w:color="auto"/>
        <w:left w:val="none" w:sz="0" w:space="0" w:color="auto"/>
        <w:bottom w:val="none" w:sz="0" w:space="0" w:color="auto"/>
        <w:right w:val="none" w:sz="0" w:space="0" w:color="auto"/>
      </w:divBdr>
    </w:div>
    <w:div w:id="1871792894">
      <w:bodyDiv w:val="1"/>
      <w:marLeft w:val="0"/>
      <w:marRight w:val="0"/>
      <w:marTop w:val="0"/>
      <w:marBottom w:val="0"/>
      <w:divBdr>
        <w:top w:val="none" w:sz="0" w:space="0" w:color="auto"/>
        <w:left w:val="none" w:sz="0" w:space="0" w:color="auto"/>
        <w:bottom w:val="none" w:sz="0" w:space="0" w:color="auto"/>
        <w:right w:val="none" w:sz="0" w:space="0" w:color="auto"/>
      </w:divBdr>
    </w:div>
    <w:div w:id="1877234794">
      <w:bodyDiv w:val="1"/>
      <w:marLeft w:val="0"/>
      <w:marRight w:val="0"/>
      <w:marTop w:val="0"/>
      <w:marBottom w:val="0"/>
      <w:divBdr>
        <w:top w:val="none" w:sz="0" w:space="0" w:color="auto"/>
        <w:left w:val="none" w:sz="0" w:space="0" w:color="auto"/>
        <w:bottom w:val="none" w:sz="0" w:space="0" w:color="auto"/>
        <w:right w:val="none" w:sz="0" w:space="0" w:color="auto"/>
      </w:divBdr>
    </w:div>
    <w:div w:id="1884436392">
      <w:bodyDiv w:val="1"/>
      <w:marLeft w:val="0"/>
      <w:marRight w:val="0"/>
      <w:marTop w:val="0"/>
      <w:marBottom w:val="0"/>
      <w:divBdr>
        <w:top w:val="none" w:sz="0" w:space="0" w:color="auto"/>
        <w:left w:val="none" w:sz="0" w:space="0" w:color="auto"/>
        <w:bottom w:val="none" w:sz="0" w:space="0" w:color="auto"/>
        <w:right w:val="none" w:sz="0" w:space="0" w:color="auto"/>
      </w:divBdr>
    </w:div>
    <w:div w:id="1894539901">
      <w:bodyDiv w:val="1"/>
      <w:marLeft w:val="0"/>
      <w:marRight w:val="0"/>
      <w:marTop w:val="0"/>
      <w:marBottom w:val="0"/>
      <w:divBdr>
        <w:top w:val="none" w:sz="0" w:space="0" w:color="auto"/>
        <w:left w:val="none" w:sz="0" w:space="0" w:color="auto"/>
        <w:bottom w:val="none" w:sz="0" w:space="0" w:color="auto"/>
        <w:right w:val="none" w:sz="0" w:space="0" w:color="auto"/>
      </w:divBdr>
      <w:divsChild>
        <w:div w:id="332874593">
          <w:marLeft w:val="-720"/>
          <w:marRight w:val="0"/>
          <w:marTop w:val="0"/>
          <w:marBottom w:val="0"/>
          <w:divBdr>
            <w:top w:val="none" w:sz="0" w:space="0" w:color="auto"/>
            <w:left w:val="none" w:sz="0" w:space="0" w:color="auto"/>
            <w:bottom w:val="none" w:sz="0" w:space="0" w:color="auto"/>
            <w:right w:val="none" w:sz="0" w:space="0" w:color="auto"/>
          </w:divBdr>
        </w:div>
      </w:divsChild>
    </w:div>
    <w:div w:id="1894540964">
      <w:bodyDiv w:val="1"/>
      <w:marLeft w:val="0"/>
      <w:marRight w:val="0"/>
      <w:marTop w:val="0"/>
      <w:marBottom w:val="0"/>
      <w:divBdr>
        <w:top w:val="none" w:sz="0" w:space="0" w:color="auto"/>
        <w:left w:val="none" w:sz="0" w:space="0" w:color="auto"/>
        <w:bottom w:val="none" w:sz="0" w:space="0" w:color="auto"/>
        <w:right w:val="none" w:sz="0" w:space="0" w:color="auto"/>
      </w:divBdr>
    </w:div>
    <w:div w:id="1895508917">
      <w:bodyDiv w:val="1"/>
      <w:marLeft w:val="0"/>
      <w:marRight w:val="0"/>
      <w:marTop w:val="0"/>
      <w:marBottom w:val="0"/>
      <w:divBdr>
        <w:top w:val="none" w:sz="0" w:space="0" w:color="auto"/>
        <w:left w:val="none" w:sz="0" w:space="0" w:color="auto"/>
        <w:bottom w:val="none" w:sz="0" w:space="0" w:color="auto"/>
        <w:right w:val="none" w:sz="0" w:space="0" w:color="auto"/>
      </w:divBdr>
    </w:div>
    <w:div w:id="1896354356">
      <w:bodyDiv w:val="1"/>
      <w:marLeft w:val="0"/>
      <w:marRight w:val="0"/>
      <w:marTop w:val="0"/>
      <w:marBottom w:val="0"/>
      <w:divBdr>
        <w:top w:val="none" w:sz="0" w:space="0" w:color="auto"/>
        <w:left w:val="none" w:sz="0" w:space="0" w:color="auto"/>
        <w:bottom w:val="none" w:sz="0" w:space="0" w:color="auto"/>
        <w:right w:val="none" w:sz="0" w:space="0" w:color="auto"/>
      </w:divBdr>
    </w:div>
    <w:div w:id="1902641840">
      <w:bodyDiv w:val="1"/>
      <w:marLeft w:val="0"/>
      <w:marRight w:val="0"/>
      <w:marTop w:val="0"/>
      <w:marBottom w:val="0"/>
      <w:divBdr>
        <w:top w:val="none" w:sz="0" w:space="0" w:color="auto"/>
        <w:left w:val="none" w:sz="0" w:space="0" w:color="auto"/>
        <w:bottom w:val="none" w:sz="0" w:space="0" w:color="auto"/>
        <w:right w:val="none" w:sz="0" w:space="0" w:color="auto"/>
      </w:divBdr>
    </w:div>
    <w:div w:id="1909263705">
      <w:bodyDiv w:val="1"/>
      <w:marLeft w:val="0"/>
      <w:marRight w:val="0"/>
      <w:marTop w:val="0"/>
      <w:marBottom w:val="0"/>
      <w:divBdr>
        <w:top w:val="none" w:sz="0" w:space="0" w:color="auto"/>
        <w:left w:val="none" w:sz="0" w:space="0" w:color="auto"/>
        <w:bottom w:val="none" w:sz="0" w:space="0" w:color="auto"/>
        <w:right w:val="none" w:sz="0" w:space="0" w:color="auto"/>
      </w:divBdr>
    </w:div>
    <w:div w:id="1924876337">
      <w:bodyDiv w:val="1"/>
      <w:marLeft w:val="0"/>
      <w:marRight w:val="0"/>
      <w:marTop w:val="0"/>
      <w:marBottom w:val="0"/>
      <w:divBdr>
        <w:top w:val="none" w:sz="0" w:space="0" w:color="auto"/>
        <w:left w:val="none" w:sz="0" w:space="0" w:color="auto"/>
        <w:bottom w:val="none" w:sz="0" w:space="0" w:color="auto"/>
        <w:right w:val="none" w:sz="0" w:space="0" w:color="auto"/>
      </w:divBdr>
    </w:div>
    <w:div w:id="1936397386">
      <w:bodyDiv w:val="1"/>
      <w:marLeft w:val="0"/>
      <w:marRight w:val="0"/>
      <w:marTop w:val="0"/>
      <w:marBottom w:val="0"/>
      <w:divBdr>
        <w:top w:val="none" w:sz="0" w:space="0" w:color="auto"/>
        <w:left w:val="none" w:sz="0" w:space="0" w:color="auto"/>
        <w:bottom w:val="none" w:sz="0" w:space="0" w:color="auto"/>
        <w:right w:val="none" w:sz="0" w:space="0" w:color="auto"/>
      </w:divBdr>
    </w:div>
    <w:div w:id="1938980753">
      <w:bodyDiv w:val="1"/>
      <w:marLeft w:val="0"/>
      <w:marRight w:val="0"/>
      <w:marTop w:val="0"/>
      <w:marBottom w:val="0"/>
      <w:divBdr>
        <w:top w:val="none" w:sz="0" w:space="0" w:color="auto"/>
        <w:left w:val="none" w:sz="0" w:space="0" w:color="auto"/>
        <w:bottom w:val="none" w:sz="0" w:space="0" w:color="auto"/>
        <w:right w:val="none" w:sz="0" w:space="0" w:color="auto"/>
      </w:divBdr>
    </w:div>
    <w:div w:id="1947152289">
      <w:bodyDiv w:val="1"/>
      <w:marLeft w:val="0"/>
      <w:marRight w:val="0"/>
      <w:marTop w:val="0"/>
      <w:marBottom w:val="0"/>
      <w:divBdr>
        <w:top w:val="none" w:sz="0" w:space="0" w:color="auto"/>
        <w:left w:val="none" w:sz="0" w:space="0" w:color="auto"/>
        <w:bottom w:val="none" w:sz="0" w:space="0" w:color="auto"/>
        <w:right w:val="none" w:sz="0" w:space="0" w:color="auto"/>
      </w:divBdr>
    </w:div>
    <w:div w:id="1947346448">
      <w:bodyDiv w:val="1"/>
      <w:marLeft w:val="0"/>
      <w:marRight w:val="0"/>
      <w:marTop w:val="0"/>
      <w:marBottom w:val="0"/>
      <w:divBdr>
        <w:top w:val="none" w:sz="0" w:space="0" w:color="auto"/>
        <w:left w:val="none" w:sz="0" w:space="0" w:color="auto"/>
        <w:bottom w:val="none" w:sz="0" w:space="0" w:color="auto"/>
        <w:right w:val="none" w:sz="0" w:space="0" w:color="auto"/>
      </w:divBdr>
    </w:div>
    <w:div w:id="1972323949">
      <w:bodyDiv w:val="1"/>
      <w:marLeft w:val="0"/>
      <w:marRight w:val="0"/>
      <w:marTop w:val="0"/>
      <w:marBottom w:val="0"/>
      <w:divBdr>
        <w:top w:val="none" w:sz="0" w:space="0" w:color="auto"/>
        <w:left w:val="none" w:sz="0" w:space="0" w:color="auto"/>
        <w:bottom w:val="none" w:sz="0" w:space="0" w:color="auto"/>
        <w:right w:val="none" w:sz="0" w:space="0" w:color="auto"/>
      </w:divBdr>
    </w:div>
    <w:div w:id="1976401605">
      <w:bodyDiv w:val="1"/>
      <w:marLeft w:val="0"/>
      <w:marRight w:val="0"/>
      <w:marTop w:val="0"/>
      <w:marBottom w:val="0"/>
      <w:divBdr>
        <w:top w:val="none" w:sz="0" w:space="0" w:color="auto"/>
        <w:left w:val="none" w:sz="0" w:space="0" w:color="auto"/>
        <w:bottom w:val="none" w:sz="0" w:space="0" w:color="auto"/>
        <w:right w:val="none" w:sz="0" w:space="0" w:color="auto"/>
      </w:divBdr>
      <w:divsChild>
        <w:div w:id="941456663">
          <w:marLeft w:val="0"/>
          <w:marRight w:val="0"/>
          <w:marTop w:val="0"/>
          <w:marBottom w:val="0"/>
          <w:divBdr>
            <w:top w:val="none" w:sz="0" w:space="0" w:color="auto"/>
            <w:left w:val="none" w:sz="0" w:space="0" w:color="auto"/>
            <w:bottom w:val="none" w:sz="0" w:space="0" w:color="auto"/>
            <w:right w:val="none" w:sz="0" w:space="0" w:color="auto"/>
          </w:divBdr>
        </w:div>
      </w:divsChild>
    </w:div>
    <w:div w:id="1992824981">
      <w:bodyDiv w:val="1"/>
      <w:marLeft w:val="0"/>
      <w:marRight w:val="0"/>
      <w:marTop w:val="0"/>
      <w:marBottom w:val="0"/>
      <w:divBdr>
        <w:top w:val="none" w:sz="0" w:space="0" w:color="auto"/>
        <w:left w:val="none" w:sz="0" w:space="0" w:color="auto"/>
        <w:bottom w:val="none" w:sz="0" w:space="0" w:color="auto"/>
        <w:right w:val="none" w:sz="0" w:space="0" w:color="auto"/>
      </w:divBdr>
    </w:div>
    <w:div w:id="1997874659">
      <w:bodyDiv w:val="1"/>
      <w:marLeft w:val="0"/>
      <w:marRight w:val="0"/>
      <w:marTop w:val="0"/>
      <w:marBottom w:val="0"/>
      <w:divBdr>
        <w:top w:val="none" w:sz="0" w:space="0" w:color="auto"/>
        <w:left w:val="none" w:sz="0" w:space="0" w:color="auto"/>
        <w:bottom w:val="none" w:sz="0" w:space="0" w:color="auto"/>
        <w:right w:val="none" w:sz="0" w:space="0" w:color="auto"/>
      </w:divBdr>
    </w:div>
    <w:div w:id="1998418848">
      <w:bodyDiv w:val="1"/>
      <w:marLeft w:val="0"/>
      <w:marRight w:val="0"/>
      <w:marTop w:val="0"/>
      <w:marBottom w:val="0"/>
      <w:divBdr>
        <w:top w:val="none" w:sz="0" w:space="0" w:color="auto"/>
        <w:left w:val="none" w:sz="0" w:space="0" w:color="auto"/>
        <w:bottom w:val="none" w:sz="0" w:space="0" w:color="auto"/>
        <w:right w:val="none" w:sz="0" w:space="0" w:color="auto"/>
      </w:divBdr>
    </w:div>
    <w:div w:id="2012944585">
      <w:bodyDiv w:val="1"/>
      <w:marLeft w:val="0"/>
      <w:marRight w:val="0"/>
      <w:marTop w:val="0"/>
      <w:marBottom w:val="0"/>
      <w:divBdr>
        <w:top w:val="none" w:sz="0" w:space="0" w:color="auto"/>
        <w:left w:val="none" w:sz="0" w:space="0" w:color="auto"/>
        <w:bottom w:val="none" w:sz="0" w:space="0" w:color="auto"/>
        <w:right w:val="none" w:sz="0" w:space="0" w:color="auto"/>
      </w:divBdr>
    </w:div>
    <w:div w:id="2021392548">
      <w:bodyDiv w:val="1"/>
      <w:marLeft w:val="0"/>
      <w:marRight w:val="0"/>
      <w:marTop w:val="0"/>
      <w:marBottom w:val="0"/>
      <w:divBdr>
        <w:top w:val="none" w:sz="0" w:space="0" w:color="auto"/>
        <w:left w:val="none" w:sz="0" w:space="0" w:color="auto"/>
        <w:bottom w:val="none" w:sz="0" w:space="0" w:color="auto"/>
        <w:right w:val="none" w:sz="0" w:space="0" w:color="auto"/>
      </w:divBdr>
    </w:div>
    <w:div w:id="2041322912">
      <w:bodyDiv w:val="1"/>
      <w:marLeft w:val="0"/>
      <w:marRight w:val="0"/>
      <w:marTop w:val="0"/>
      <w:marBottom w:val="0"/>
      <w:divBdr>
        <w:top w:val="none" w:sz="0" w:space="0" w:color="auto"/>
        <w:left w:val="none" w:sz="0" w:space="0" w:color="auto"/>
        <w:bottom w:val="none" w:sz="0" w:space="0" w:color="auto"/>
        <w:right w:val="none" w:sz="0" w:space="0" w:color="auto"/>
      </w:divBdr>
    </w:div>
    <w:div w:id="2046321617">
      <w:bodyDiv w:val="1"/>
      <w:marLeft w:val="0"/>
      <w:marRight w:val="0"/>
      <w:marTop w:val="0"/>
      <w:marBottom w:val="0"/>
      <w:divBdr>
        <w:top w:val="none" w:sz="0" w:space="0" w:color="auto"/>
        <w:left w:val="none" w:sz="0" w:space="0" w:color="auto"/>
        <w:bottom w:val="none" w:sz="0" w:space="0" w:color="auto"/>
        <w:right w:val="none" w:sz="0" w:space="0" w:color="auto"/>
      </w:divBdr>
    </w:div>
    <w:div w:id="2063671289">
      <w:bodyDiv w:val="1"/>
      <w:marLeft w:val="0"/>
      <w:marRight w:val="0"/>
      <w:marTop w:val="0"/>
      <w:marBottom w:val="0"/>
      <w:divBdr>
        <w:top w:val="none" w:sz="0" w:space="0" w:color="auto"/>
        <w:left w:val="none" w:sz="0" w:space="0" w:color="auto"/>
        <w:bottom w:val="none" w:sz="0" w:space="0" w:color="auto"/>
        <w:right w:val="none" w:sz="0" w:space="0" w:color="auto"/>
      </w:divBdr>
    </w:div>
    <w:div w:id="2067098765">
      <w:bodyDiv w:val="1"/>
      <w:marLeft w:val="0"/>
      <w:marRight w:val="0"/>
      <w:marTop w:val="0"/>
      <w:marBottom w:val="0"/>
      <w:divBdr>
        <w:top w:val="none" w:sz="0" w:space="0" w:color="auto"/>
        <w:left w:val="none" w:sz="0" w:space="0" w:color="auto"/>
        <w:bottom w:val="none" w:sz="0" w:space="0" w:color="auto"/>
        <w:right w:val="none" w:sz="0" w:space="0" w:color="auto"/>
      </w:divBdr>
    </w:div>
    <w:div w:id="2069260491">
      <w:bodyDiv w:val="1"/>
      <w:marLeft w:val="0"/>
      <w:marRight w:val="0"/>
      <w:marTop w:val="0"/>
      <w:marBottom w:val="0"/>
      <w:divBdr>
        <w:top w:val="none" w:sz="0" w:space="0" w:color="auto"/>
        <w:left w:val="none" w:sz="0" w:space="0" w:color="auto"/>
        <w:bottom w:val="none" w:sz="0" w:space="0" w:color="auto"/>
        <w:right w:val="none" w:sz="0" w:space="0" w:color="auto"/>
      </w:divBdr>
    </w:div>
    <w:div w:id="2072188583">
      <w:bodyDiv w:val="1"/>
      <w:marLeft w:val="0"/>
      <w:marRight w:val="0"/>
      <w:marTop w:val="0"/>
      <w:marBottom w:val="0"/>
      <w:divBdr>
        <w:top w:val="none" w:sz="0" w:space="0" w:color="auto"/>
        <w:left w:val="none" w:sz="0" w:space="0" w:color="auto"/>
        <w:bottom w:val="none" w:sz="0" w:space="0" w:color="auto"/>
        <w:right w:val="none" w:sz="0" w:space="0" w:color="auto"/>
      </w:divBdr>
    </w:div>
    <w:div w:id="2073236867">
      <w:bodyDiv w:val="1"/>
      <w:marLeft w:val="0"/>
      <w:marRight w:val="0"/>
      <w:marTop w:val="0"/>
      <w:marBottom w:val="0"/>
      <w:divBdr>
        <w:top w:val="none" w:sz="0" w:space="0" w:color="auto"/>
        <w:left w:val="none" w:sz="0" w:space="0" w:color="auto"/>
        <w:bottom w:val="none" w:sz="0" w:space="0" w:color="auto"/>
        <w:right w:val="none" w:sz="0" w:space="0" w:color="auto"/>
      </w:divBdr>
    </w:div>
    <w:div w:id="2088846732">
      <w:bodyDiv w:val="1"/>
      <w:marLeft w:val="0"/>
      <w:marRight w:val="0"/>
      <w:marTop w:val="0"/>
      <w:marBottom w:val="0"/>
      <w:divBdr>
        <w:top w:val="none" w:sz="0" w:space="0" w:color="auto"/>
        <w:left w:val="none" w:sz="0" w:space="0" w:color="auto"/>
        <w:bottom w:val="none" w:sz="0" w:space="0" w:color="auto"/>
        <w:right w:val="none" w:sz="0" w:space="0" w:color="auto"/>
      </w:divBdr>
      <w:divsChild>
        <w:div w:id="1245146039">
          <w:marLeft w:val="-720"/>
          <w:marRight w:val="0"/>
          <w:marTop w:val="0"/>
          <w:marBottom w:val="0"/>
          <w:divBdr>
            <w:top w:val="none" w:sz="0" w:space="0" w:color="auto"/>
            <w:left w:val="none" w:sz="0" w:space="0" w:color="auto"/>
            <w:bottom w:val="none" w:sz="0" w:space="0" w:color="auto"/>
            <w:right w:val="none" w:sz="0" w:space="0" w:color="auto"/>
          </w:divBdr>
        </w:div>
      </w:divsChild>
    </w:div>
    <w:div w:id="2090494094">
      <w:bodyDiv w:val="1"/>
      <w:marLeft w:val="0"/>
      <w:marRight w:val="0"/>
      <w:marTop w:val="0"/>
      <w:marBottom w:val="0"/>
      <w:divBdr>
        <w:top w:val="none" w:sz="0" w:space="0" w:color="auto"/>
        <w:left w:val="none" w:sz="0" w:space="0" w:color="auto"/>
        <w:bottom w:val="none" w:sz="0" w:space="0" w:color="auto"/>
        <w:right w:val="none" w:sz="0" w:space="0" w:color="auto"/>
      </w:divBdr>
    </w:div>
    <w:div w:id="2092196557">
      <w:bodyDiv w:val="1"/>
      <w:marLeft w:val="0"/>
      <w:marRight w:val="0"/>
      <w:marTop w:val="0"/>
      <w:marBottom w:val="0"/>
      <w:divBdr>
        <w:top w:val="none" w:sz="0" w:space="0" w:color="auto"/>
        <w:left w:val="none" w:sz="0" w:space="0" w:color="auto"/>
        <w:bottom w:val="none" w:sz="0" w:space="0" w:color="auto"/>
        <w:right w:val="none" w:sz="0" w:space="0" w:color="auto"/>
      </w:divBdr>
    </w:div>
    <w:div w:id="2098358759">
      <w:bodyDiv w:val="1"/>
      <w:marLeft w:val="0"/>
      <w:marRight w:val="0"/>
      <w:marTop w:val="0"/>
      <w:marBottom w:val="0"/>
      <w:divBdr>
        <w:top w:val="none" w:sz="0" w:space="0" w:color="auto"/>
        <w:left w:val="none" w:sz="0" w:space="0" w:color="auto"/>
        <w:bottom w:val="none" w:sz="0" w:space="0" w:color="auto"/>
        <w:right w:val="none" w:sz="0" w:space="0" w:color="auto"/>
      </w:divBdr>
    </w:div>
    <w:div w:id="2098745652">
      <w:bodyDiv w:val="1"/>
      <w:marLeft w:val="0"/>
      <w:marRight w:val="0"/>
      <w:marTop w:val="0"/>
      <w:marBottom w:val="0"/>
      <w:divBdr>
        <w:top w:val="none" w:sz="0" w:space="0" w:color="auto"/>
        <w:left w:val="none" w:sz="0" w:space="0" w:color="auto"/>
        <w:bottom w:val="none" w:sz="0" w:space="0" w:color="auto"/>
        <w:right w:val="none" w:sz="0" w:space="0" w:color="auto"/>
      </w:divBdr>
    </w:div>
    <w:div w:id="2110923750">
      <w:bodyDiv w:val="1"/>
      <w:marLeft w:val="0"/>
      <w:marRight w:val="0"/>
      <w:marTop w:val="0"/>
      <w:marBottom w:val="0"/>
      <w:divBdr>
        <w:top w:val="none" w:sz="0" w:space="0" w:color="auto"/>
        <w:left w:val="none" w:sz="0" w:space="0" w:color="auto"/>
        <w:bottom w:val="none" w:sz="0" w:space="0" w:color="auto"/>
        <w:right w:val="none" w:sz="0" w:space="0" w:color="auto"/>
      </w:divBdr>
    </w:div>
    <w:div w:id="2110929155">
      <w:bodyDiv w:val="1"/>
      <w:marLeft w:val="0"/>
      <w:marRight w:val="0"/>
      <w:marTop w:val="0"/>
      <w:marBottom w:val="0"/>
      <w:divBdr>
        <w:top w:val="none" w:sz="0" w:space="0" w:color="auto"/>
        <w:left w:val="none" w:sz="0" w:space="0" w:color="auto"/>
        <w:bottom w:val="none" w:sz="0" w:space="0" w:color="auto"/>
        <w:right w:val="none" w:sz="0" w:space="0" w:color="auto"/>
      </w:divBdr>
      <w:divsChild>
        <w:div w:id="1945922721">
          <w:marLeft w:val="-720"/>
          <w:marRight w:val="0"/>
          <w:marTop w:val="0"/>
          <w:marBottom w:val="0"/>
          <w:divBdr>
            <w:top w:val="none" w:sz="0" w:space="0" w:color="auto"/>
            <w:left w:val="none" w:sz="0" w:space="0" w:color="auto"/>
            <w:bottom w:val="none" w:sz="0" w:space="0" w:color="auto"/>
            <w:right w:val="none" w:sz="0" w:space="0" w:color="auto"/>
          </w:divBdr>
        </w:div>
      </w:divsChild>
    </w:div>
    <w:div w:id="2119908681">
      <w:bodyDiv w:val="1"/>
      <w:marLeft w:val="0"/>
      <w:marRight w:val="0"/>
      <w:marTop w:val="0"/>
      <w:marBottom w:val="0"/>
      <w:divBdr>
        <w:top w:val="none" w:sz="0" w:space="0" w:color="auto"/>
        <w:left w:val="none" w:sz="0" w:space="0" w:color="auto"/>
        <w:bottom w:val="none" w:sz="0" w:space="0" w:color="auto"/>
        <w:right w:val="none" w:sz="0" w:space="0" w:color="auto"/>
      </w:divBdr>
    </w:div>
    <w:div w:id="2130970345">
      <w:bodyDiv w:val="1"/>
      <w:marLeft w:val="0"/>
      <w:marRight w:val="0"/>
      <w:marTop w:val="0"/>
      <w:marBottom w:val="0"/>
      <w:divBdr>
        <w:top w:val="none" w:sz="0" w:space="0" w:color="auto"/>
        <w:left w:val="none" w:sz="0" w:space="0" w:color="auto"/>
        <w:bottom w:val="none" w:sz="0" w:space="0" w:color="auto"/>
        <w:right w:val="none" w:sz="0" w:space="0" w:color="auto"/>
      </w:divBdr>
    </w:div>
    <w:div w:id="2131584638">
      <w:bodyDiv w:val="1"/>
      <w:marLeft w:val="0"/>
      <w:marRight w:val="0"/>
      <w:marTop w:val="0"/>
      <w:marBottom w:val="0"/>
      <w:divBdr>
        <w:top w:val="none" w:sz="0" w:space="0" w:color="auto"/>
        <w:left w:val="none" w:sz="0" w:space="0" w:color="auto"/>
        <w:bottom w:val="none" w:sz="0" w:space="0" w:color="auto"/>
        <w:right w:val="none" w:sz="0" w:space="0" w:color="auto"/>
      </w:divBdr>
    </w:div>
    <w:div w:id="2146041957">
      <w:bodyDiv w:val="1"/>
      <w:marLeft w:val="0"/>
      <w:marRight w:val="0"/>
      <w:marTop w:val="0"/>
      <w:marBottom w:val="0"/>
      <w:divBdr>
        <w:top w:val="none" w:sz="0" w:space="0" w:color="auto"/>
        <w:left w:val="none" w:sz="0" w:space="0" w:color="auto"/>
        <w:bottom w:val="none" w:sz="0" w:space="0" w:color="auto"/>
        <w:right w:val="none" w:sz="0" w:space="0" w:color="auto"/>
      </w:divBdr>
    </w:div>
    <w:div w:id="21463122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jacadv.2025.102133" TargetMode="External"/><Relationship Id="rId18" Type="http://schemas.openxmlformats.org/officeDocument/2006/relationships/hyperlink" Target="https://doi.org/10.1057/s41267-017-0120-x" TargetMode="External"/><Relationship Id="rId26" Type="http://schemas.openxmlformats.org/officeDocument/2006/relationships/hyperlink" Target="https://uaelegislation.gov.ae/en/legislations/2751" TargetMode="External"/><Relationship Id="rId39" Type="http://schemas.openxmlformats.org/officeDocument/2006/relationships/hyperlink" Target="https://www.kayrouzandassociates.com/insights/uae-healthcare-facility-licence-guide" TargetMode="External"/><Relationship Id="rId21" Type="http://schemas.openxmlformats.org/officeDocument/2006/relationships/hyperlink" Target="https://doi.org/10.1057/s41267-017-0074-z" TargetMode="External"/><Relationship Id="rId34" Type="http://schemas.openxmlformats.org/officeDocument/2006/relationships/hyperlink" Target="https://doi.org/10.1108/SCM-10-2018-0357" TargetMode="External"/><Relationship Id="rId42" Type="http://schemas.openxmlformats.org/officeDocument/2006/relationships/hyperlink" Target="https://www.lexisnexis.com/blogs/ae-legal/b/insights/posts/uae-mandatory-health-insurance-starting-1-january-2025" TargetMode="External"/><Relationship Id="rId47" Type="http://schemas.openxmlformats.org/officeDocument/2006/relationships/hyperlink" Target="https://www.npr.org/2026/04/06/nx-s1-5775543/medical-supplies-stuck-dubai-clinics-world-face-shortages" TargetMode="External"/><Relationship Id="rId50" Type="http://schemas.openxmlformats.org/officeDocument/2006/relationships/hyperlink" Target="https://doi.org/10.1057/palgrave.jibs.8400377" TargetMode="External"/><Relationship Id="rId55" Type="http://schemas.openxmlformats.org/officeDocument/2006/relationships/hyperlink" Target="https://www.thenationalnews.com/future/technology/2026/04/10/iranian-cyber-attacks-move-from-disruptive-to-complex-threats-in-gul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08/09574090410700275" TargetMode="External"/><Relationship Id="rId29" Type="http://schemas.openxmlformats.org/officeDocument/2006/relationships/hyperlink" Target="https://www.fiercehealthcare.com/health-tech/full-body-scan-startup-neko-health-scores-700m-break-us-market" TargetMode="External"/><Relationship Id="rId11" Type="http://schemas.openxmlformats.org/officeDocument/2006/relationships/hyperlink" Target="https://doi.org/10.1057/palgrave.jibs.8490432" TargetMode="External"/><Relationship Id="rId24" Type="http://schemas.openxmlformats.org/officeDocument/2006/relationships/hyperlink" Target="https://fcsc.gov.ae/press-release/" TargetMode="External"/><Relationship Id="rId32" Type="http://schemas.openxmlformats.org/officeDocument/2006/relationships/hyperlink" Target="https://doi.org/10.3389/fpubh.2025.1703376" TargetMode="External"/><Relationship Id="rId37" Type="http://schemas.openxmlformats.org/officeDocument/2006/relationships/hyperlink" Target="https://doi.org/10.1080/00207543.2020.1750727" TargetMode="External"/><Relationship Id="rId40" Type="http://schemas.openxmlformats.org/officeDocument/2006/relationships/hyperlink" Target="https://doi.org/10.1287/mnsc.40.1.123" TargetMode="External"/><Relationship Id="rId45" Type="http://schemas.openxmlformats.org/officeDocument/2006/relationships/hyperlink" Target="https://www.nekohealth.com/gb/en/about" TargetMode="External"/><Relationship Id="rId53" Type="http://schemas.openxmlformats.org/officeDocument/2006/relationships/hyperlink" Target="https://www.techtimes.com/articles/323799/20260810/uae-fends-off-third-sector-targeting-cyberattack-2026-finance-first-%20now-aviation-energy.htm" TargetMode="External"/><Relationship Id="rId58" Type="http://schemas.openxmlformats.org/officeDocument/2006/relationships/footer" Target="footer2.xml"/><Relationship Id="rId5" Type="http://schemas.openxmlformats.org/officeDocument/2006/relationships/webSettings" Target="webSettings.xml"/><Relationship Id="rId61" Type="http://schemas.microsoft.com/office/2020/10/relationships/intelligence" Target="intelligence2.xml"/><Relationship Id="rId19" Type="http://schemas.openxmlformats.org/officeDocument/2006/relationships/hyperlink" Target="https://www.doh.gov.ae/en/news/world-health-expo-2026" TargetMode="External"/><Relationship Id="rId14" Type="http://schemas.openxmlformats.org/officeDocument/2006/relationships/hyperlink" Target="https://doi.org/10.1057/palgrave.jibs.8491013" TargetMode="External"/><Relationship Id="rId22" Type="http://schemas.openxmlformats.org/officeDocument/2006/relationships/hyperlink" Target="https://doi.org/10.1016/S0969-5931(99)00035-9" TargetMode="External"/><Relationship Id="rId27" Type="http://schemas.openxmlformats.org/officeDocument/2006/relationships/hyperlink" Target="https://u.ae/en/about-the-uae/digital-uae/data/data-protection-laws" TargetMode="External"/><Relationship Id="rId30" Type="http://schemas.openxmlformats.org/officeDocument/2006/relationships/hyperlink" Target="https://www.ft.com/content/88eb7796-b3f7-419c-9091-b4dd84b57893" TargetMode="External"/><Relationship Id="rId35" Type="http://schemas.openxmlformats.org/officeDocument/2006/relationships/hyperlink" Target="https://www.globalmediainsight.com/blog/uae-population-statistics/" TargetMode="External"/><Relationship Id="rId43" Type="http://schemas.openxmlformats.org/officeDocument/2006/relationships/hyperlink" Target="https://mohap.gov.ae/en/w/ministerial-decree-no.-51-of-the-year-2021-regarding-cases-in-which-health-data-and-information-may-be-stored-or-transferred-outside-the-country" TargetMode="External"/><Relationship Id="rId48" Type="http://schemas.openxmlformats.org/officeDocument/2006/relationships/hyperlink" Target="https://doi.org/10.1287/orsc.2013.0860" TargetMode="External"/><Relationship Id="rId56" Type="http://schemas.openxmlformats.org/officeDocument/2006/relationships/hyperlink" Target="https://worldlongevityclinics.com/news/best-longevity-clinics-dubai-uae-2026/" TargetMode="External"/><Relationship Id="rId8" Type="http://schemas.openxmlformats.org/officeDocument/2006/relationships/footer" Target="footer1.xml"/><Relationship Id="rId51" Type="http://schemas.openxmlformats.org/officeDocument/2006/relationships/hyperlink" Target="https://doi.org/10.1002/gsj.1336" TargetMode="External"/><Relationship Id="rId3" Type="http://schemas.openxmlformats.org/officeDocument/2006/relationships/styles" Target="styles.xml"/><Relationship Id="rId12" Type="http://schemas.openxmlformats.org/officeDocument/2006/relationships/hyperlink" Target="https://doi.org/10.1177/014920639101700108" TargetMode="External"/><Relationship Id="rId17" Type="http://schemas.openxmlformats.org/officeDocument/2006/relationships/hyperlink" Target="https://www.cnn.com/2024/04/17/weather/dubai-rain-flooding-climate-wednesday-intl/index.html" TargetMode="External"/><Relationship Id="rId25" Type="http://schemas.openxmlformats.org/officeDocument/2006/relationships/hyperlink" Target="https://u.ae/en/information-and-services/business/doing-business-on-the-mainland/full-foreign-ownership-of-commercial-companies" TargetMode="External"/><Relationship Id="rId33" Type="http://schemas.openxmlformats.org/officeDocument/2006/relationships/hyperlink" Target="https://doi.org/10.1287/orsc.2018.1230" TargetMode="External"/><Relationship Id="rId38" Type="http://schemas.openxmlformats.org/officeDocument/2006/relationships/hyperlink" Target="https://www.jll.com/en-us/insights/the-uaes-blueprint-for-living-healthier-for-longer" TargetMode="External"/><Relationship Id="rId46" Type="http://schemas.openxmlformats.org/officeDocument/2006/relationships/hyperlink" Target="https://www.nekohealth.com/us/en/press/neko-health-raises-usd700m-series-c-ahead-of-us-launch" TargetMode="External"/><Relationship Id="rId59" Type="http://schemas.openxmlformats.org/officeDocument/2006/relationships/fontTable" Target="fontTable.xml"/><Relationship Id="rId20" Type="http://schemas.openxmlformats.org/officeDocument/2006/relationships/hyperlink" Target="https://www.doh.gov.ae/en/news/doh-and-oura-partner-to-advance-preventive-health-in-abu-dhabi" TargetMode="External"/><Relationship Id="rId41" Type="http://schemas.openxmlformats.org/officeDocument/2006/relationships/hyperlink" Target="https://doi.org/10.5465/amr.1999.1580441" TargetMode="External"/><Relationship Id="rId54" Type="http://schemas.openxmlformats.org/officeDocument/2006/relationships/hyperlink" Target="https://doi.org/10.1016/j.lrp.2017.06.00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entralbank.ae/media/lgnfakgc/qer-march_2026.pdf" TargetMode="External"/><Relationship Id="rId23" Type="http://schemas.openxmlformats.org/officeDocument/2006/relationships/hyperlink" Target="https://doi.org/10.1177/002224299305700302" TargetMode="External"/><Relationship Id="rId28" Type="http://schemas.openxmlformats.org/officeDocument/2006/relationships/hyperlink" Target="https://uaelegislation.gov.ae/en/legislations/1204" TargetMode="External"/><Relationship Id="rId36" Type="http://schemas.openxmlformats.org/officeDocument/2006/relationships/hyperlink" Target="https://doi.org/10.1093/jleo/16.2.334" TargetMode="External"/><Relationship Id="rId49" Type="http://schemas.openxmlformats.org/officeDocument/2006/relationships/hyperlink" Target="https://doi.org/10.1136/bmjgh-2022-009773" TargetMode="External"/><Relationship Id="rId57" Type="http://schemas.openxmlformats.org/officeDocument/2006/relationships/hyperlink" Target="https://www.zawya.com/en/press-release/companies-news/longevium-launches-3-clinics-in-dubai-unveiling-a-new-clinical-model-for-healthy-aging-400648" TargetMode="External"/><Relationship Id="rId10" Type="http://schemas.openxmlformats.org/officeDocument/2006/relationships/hyperlink" Target="https://doi.org/10.1007/978-981-96-0523-1" TargetMode="External"/><Relationship Id="rId31" Type="http://schemas.openxmlformats.org/officeDocument/2006/relationships/hyperlink" Target="https://fortune.com/2026/04/20/uae-central-bank-dollar-lifeline-fed-treasury-currency-swap-chinese-yuan-iran-war/" TargetMode="External"/><Relationship Id="rId44" Type="http://schemas.openxmlformats.org/officeDocument/2006/relationships/hyperlink" Target="https://www.neelim.com/blog/dhcc-license-explained-dha-difference" TargetMode="External"/><Relationship Id="rId52" Type="http://schemas.openxmlformats.org/officeDocument/2006/relationships/hyperlink" Target="https://doi.org/10.5465/amr.1995.9508080331"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4FFCF5D-C71E-8145-A2FA-6DB25D9247F7}">
  <we:reference id="f518cb36-c901-4d52-a9e7-4331342e485d" version="1.4.0.0" store="EXCatalog" storeType="EXCatalog"/>
  <we:alternateReferences>
    <we:reference id="WA200001011" version="1.4.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805AF-CC01-C246-A1B8-1BAB17B18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1553</TotalTime>
  <Pages>19</Pages>
  <Words>7295</Words>
  <Characters>41587</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Coventry University</Company>
  <LinksUpToDate>false</LinksUpToDate>
  <CharactersWithSpaces>48785</CharactersWithSpaces>
  <SharedDoc>false</SharedDoc>
  <HLinks>
    <vt:vector size="186" baseType="variant">
      <vt:variant>
        <vt:i4>1769521</vt:i4>
      </vt:variant>
      <vt:variant>
        <vt:i4>176</vt:i4>
      </vt:variant>
      <vt:variant>
        <vt:i4>0</vt:i4>
      </vt:variant>
      <vt:variant>
        <vt:i4>5</vt:i4>
      </vt:variant>
      <vt:variant>
        <vt:lpwstr/>
      </vt:variant>
      <vt:variant>
        <vt:lpwstr>_Toc233900065</vt:lpwstr>
      </vt:variant>
      <vt:variant>
        <vt:i4>1769521</vt:i4>
      </vt:variant>
      <vt:variant>
        <vt:i4>170</vt:i4>
      </vt:variant>
      <vt:variant>
        <vt:i4>0</vt:i4>
      </vt:variant>
      <vt:variant>
        <vt:i4>5</vt:i4>
      </vt:variant>
      <vt:variant>
        <vt:lpwstr/>
      </vt:variant>
      <vt:variant>
        <vt:lpwstr>_Toc233900064</vt:lpwstr>
      </vt:variant>
      <vt:variant>
        <vt:i4>1769521</vt:i4>
      </vt:variant>
      <vt:variant>
        <vt:i4>164</vt:i4>
      </vt:variant>
      <vt:variant>
        <vt:i4>0</vt:i4>
      </vt:variant>
      <vt:variant>
        <vt:i4>5</vt:i4>
      </vt:variant>
      <vt:variant>
        <vt:lpwstr/>
      </vt:variant>
      <vt:variant>
        <vt:lpwstr>_Toc233900063</vt:lpwstr>
      </vt:variant>
      <vt:variant>
        <vt:i4>1769521</vt:i4>
      </vt:variant>
      <vt:variant>
        <vt:i4>158</vt:i4>
      </vt:variant>
      <vt:variant>
        <vt:i4>0</vt:i4>
      </vt:variant>
      <vt:variant>
        <vt:i4>5</vt:i4>
      </vt:variant>
      <vt:variant>
        <vt:lpwstr/>
      </vt:variant>
      <vt:variant>
        <vt:lpwstr>_Toc233900062</vt:lpwstr>
      </vt:variant>
      <vt:variant>
        <vt:i4>1769521</vt:i4>
      </vt:variant>
      <vt:variant>
        <vt:i4>152</vt:i4>
      </vt:variant>
      <vt:variant>
        <vt:i4>0</vt:i4>
      </vt:variant>
      <vt:variant>
        <vt:i4>5</vt:i4>
      </vt:variant>
      <vt:variant>
        <vt:lpwstr/>
      </vt:variant>
      <vt:variant>
        <vt:lpwstr>_Toc233900061</vt:lpwstr>
      </vt:variant>
      <vt:variant>
        <vt:i4>1769521</vt:i4>
      </vt:variant>
      <vt:variant>
        <vt:i4>146</vt:i4>
      </vt:variant>
      <vt:variant>
        <vt:i4>0</vt:i4>
      </vt:variant>
      <vt:variant>
        <vt:i4>5</vt:i4>
      </vt:variant>
      <vt:variant>
        <vt:lpwstr/>
      </vt:variant>
      <vt:variant>
        <vt:lpwstr>_Toc233900060</vt:lpwstr>
      </vt:variant>
      <vt:variant>
        <vt:i4>1572913</vt:i4>
      </vt:variant>
      <vt:variant>
        <vt:i4>140</vt:i4>
      </vt:variant>
      <vt:variant>
        <vt:i4>0</vt:i4>
      </vt:variant>
      <vt:variant>
        <vt:i4>5</vt:i4>
      </vt:variant>
      <vt:variant>
        <vt:lpwstr/>
      </vt:variant>
      <vt:variant>
        <vt:lpwstr>_Toc233900059</vt:lpwstr>
      </vt:variant>
      <vt:variant>
        <vt:i4>1572913</vt:i4>
      </vt:variant>
      <vt:variant>
        <vt:i4>134</vt:i4>
      </vt:variant>
      <vt:variant>
        <vt:i4>0</vt:i4>
      </vt:variant>
      <vt:variant>
        <vt:i4>5</vt:i4>
      </vt:variant>
      <vt:variant>
        <vt:lpwstr/>
      </vt:variant>
      <vt:variant>
        <vt:lpwstr>_Toc233900058</vt:lpwstr>
      </vt:variant>
      <vt:variant>
        <vt:i4>1572913</vt:i4>
      </vt:variant>
      <vt:variant>
        <vt:i4>128</vt:i4>
      </vt:variant>
      <vt:variant>
        <vt:i4>0</vt:i4>
      </vt:variant>
      <vt:variant>
        <vt:i4>5</vt:i4>
      </vt:variant>
      <vt:variant>
        <vt:lpwstr/>
      </vt:variant>
      <vt:variant>
        <vt:lpwstr>_Toc233900057</vt:lpwstr>
      </vt:variant>
      <vt:variant>
        <vt:i4>1572913</vt:i4>
      </vt:variant>
      <vt:variant>
        <vt:i4>122</vt:i4>
      </vt:variant>
      <vt:variant>
        <vt:i4>0</vt:i4>
      </vt:variant>
      <vt:variant>
        <vt:i4>5</vt:i4>
      </vt:variant>
      <vt:variant>
        <vt:lpwstr/>
      </vt:variant>
      <vt:variant>
        <vt:lpwstr>_Toc233900056</vt:lpwstr>
      </vt:variant>
      <vt:variant>
        <vt:i4>1572913</vt:i4>
      </vt:variant>
      <vt:variant>
        <vt:i4>116</vt:i4>
      </vt:variant>
      <vt:variant>
        <vt:i4>0</vt:i4>
      </vt:variant>
      <vt:variant>
        <vt:i4>5</vt:i4>
      </vt:variant>
      <vt:variant>
        <vt:lpwstr/>
      </vt:variant>
      <vt:variant>
        <vt:lpwstr>_Toc233900055</vt:lpwstr>
      </vt:variant>
      <vt:variant>
        <vt:i4>1572913</vt:i4>
      </vt:variant>
      <vt:variant>
        <vt:i4>110</vt:i4>
      </vt:variant>
      <vt:variant>
        <vt:i4>0</vt:i4>
      </vt:variant>
      <vt:variant>
        <vt:i4>5</vt:i4>
      </vt:variant>
      <vt:variant>
        <vt:lpwstr/>
      </vt:variant>
      <vt:variant>
        <vt:lpwstr>_Toc233900054</vt:lpwstr>
      </vt:variant>
      <vt:variant>
        <vt:i4>1572913</vt:i4>
      </vt:variant>
      <vt:variant>
        <vt:i4>104</vt:i4>
      </vt:variant>
      <vt:variant>
        <vt:i4>0</vt:i4>
      </vt:variant>
      <vt:variant>
        <vt:i4>5</vt:i4>
      </vt:variant>
      <vt:variant>
        <vt:lpwstr/>
      </vt:variant>
      <vt:variant>
        <vt:lpwstr>_Toc233900053</vt:lpwstr>
      </vt:variant>
      <vt:variant>
        <vt:i4>1572913</vt:i4>
      </vt:variant>
      <vt:variant>
        <vt:i4>98</vt:i4>
      </vt:variant>
      <vt:variant>
        <vt:i4>0</vt:i4>
      </vt:variant>
      <vt:variant>
        <vt:i4>5</vt:i4>
      </vt:variant>
      <vt:variant>
        <vt:lpwstr/>
      </vt:variant>
      <vt:variant>
        <vt:lpwstr>_Toc233900052</vt:lpwstr>
      </vt:variant>
      <vt:variant>
        <vt:i4>1572913</vt:i4>
      </vt:variant>
      <vt:variant>
        <vt:i4>92</vt:i4>
      </vt:variant>
      <vt:variant>
        <vt:i4>0</vt:i4>
      </vt:variant>
      <vt:variant>
        <vt:i4>5</vt:i4>
      </vt:variant>
      <vt:variant>
        <vt:lpwstr/>
      </vt:variant>
      <vt:variant>
        <vt:lpwstr>_Toc233900051</vt:lpwstr>
      </vt:variant>
      <vt:variant>
        <vt:i4>1572913</vt:i4>
      </vt:variant>
      <vt:variant>
        <vt:i4>86</vt:i4>
      </vt:variant>
      <vt:variant>
        <vt:i4>0</vt:i4>
      </vt:variant>
      <vt:variant>
        <vt:i4>5</vt:i4>
      </vt:variant>
      <vt:variant>
        <vt:lpwstr/>
      </vt:variant>
      <vt:variant>
        <vt:lpwstr>_Toc233900050</vt:lpwstr>
      </vt:variant>
      <vt:variant>
        <vt:i4>1638449</vt:i4>
      </vt:variant>
      <vt:variant>
        <vt:i4>80</vt:i4>
      </vt:variant>
      <vt:variant>
        <vt:i4>0</vt:i4>
      </vt:variant>
      <vt:variant>
        <vt:i4>5</vt:i4>
      </vt:variant>
      <vt:variant>
        <vt:lpwstr/>
      </vt:variant>
      <vt:variant>
        <vt:lpwstr>_Toc233900049</vt:lpwstr>
      </vt:variant>
      <vt:variant>
        <vt:i4>1638449</vt:i4>
      </vt:variant>
      <vt:variant>
        <vt:i4>74</vt:i4>
      </vt:variant>
      <vt:variant>
        <vt:i4>0</vt:i4>
      </vt:variant>
      <vt:variant>
        <vt:i4>5</vt:i4>
      </vt:variant>
      <vt:variant>
        <vt:lpwstr/>
      </vt:variant>
      <vt:variant>
        <vt:lpwstr>_Toc233900048</vt:lpwstr>
      </vt:variant>
      <vt:variant>
        <vt:i4>1638449</vt:i4>
      </vt:variant>
      <vt:variant>
        <vt:i4>68</vt:i4>
      </vt:variant>
      <vt:variant>
        <vt:i4>0</vt:i4>
      </vt:variant>
      <vt:variant>
        <vt:i4>5</vt:i4>
      </vt:variant>
      <vt:variant>
        <vt:lpwstr/>
      </vt:variant>
      <vt:variant>
        <vt:lpwstr>_Toc233900047</vt:lpwstr>
      </vt:variant>
      <vt:variant>
        <vt:i4>1638449</vt:i4>
      </vt:variant>
      <vt:variant>
        <vt:i4>62</vt:i4>
      </vt:variant>
      <vt:variant>
        <vt:i4>0</vt:i4>
      </vt:variant>
      <vt:variant>
        <vt:i4>5</vt:i4>
      </vt:variant>
      <vt:variant>
        <vt:lpwstr/>
      </vt:variant>
      <vt:variant>
        <vt:lpwstr>_Toc233900046</vt:lpwstr>
      </vt:variant>
      <vt:variant>
        <vt:i4>1638449</vt:i4>
      </vt:variant>
      <vt:variant>
        <vt:i4>56</vt:i4>
      </vt:variant>
      <vt:variant>
        <vt:i4>0</vt:i4>
      </vt:variant>
      <vt:variant>
        <vt:i4>5</vt:i4>
      </vt:variant>
      <vt:variant>
        <vt:lpwstr/>
      </vt:variant>
      <vt:variant>
        <vt:lpwstr>_Toc233900045</vt:lpwstr>
      </vt:variant>
      <vt:variant>
        <vt:i4>1638449</vt:i4>
      </vt:variant>
      <vt:variant>
        <vt:i4>50</vt:i4>
      </vt:variant>
      <vt:variant>
        <vt:i4>0</vt:i4>
      </vt:variant>
      <vt:variant>
        <vt:i4>5</vt:i4>
      </vt:variant>
      <vt:variant>
        <vt:lpwstr/>
      </vt:variant>
      <vt:variant>
        <vt:lpwstr>_Toc233900044</vt:lpwstr>
      </vt:variant>
      <vt:variant>
        <vt:i4>1638449</vt:i4>
      </vt:variant>
      <vt:variant>
        <vt:i4>44</vt:i4>
      </vt:variant>
      <vt:variant>
        <vt:i4>0</vt:i4>
      </vt:variant>
      <vt:variant>
        <vt:i4>5</vt:i4>
      </vt:variant>
      <vt:variant>
        <vt:lpwstr/>
      </vt:variant>
      <vt:variant>
        <vt:lpwstr>_Toc233900043</vt:lpwstr>
      </vt:variant>
      <vt:variant>
        <vt:i4>1638449</vt:i4>
      </vt:variant>
      <vt:variant>
        <vt:i4>38</vt:i4>
      </vt:variant>
      <vt:variant>
        <vt:i4>0</vt:i4>
      </vt:variant>
      <vt:variant>
        <vt:i4>5</vt:i4>
      </vt:variant>
      <vt:variant>
        <vt:lpwstr/>
      </vt:variant>
      <vt:variant>
        <vt:lpwstr>_Toc233900042</vt:lpwstr>
      </vt:variant>
      <vt:variant>
        <vt:i4>1638449</vt:i4>
      </vt:variant>
      <vt:variant>
        <vt:i4>32</vt:i4>
      </vt:variant>
      <vt:variant>
        <vt:i4>0</vt:i4>
      </vt:variant>
      <vt:variant>
        <vt:i4>5</vt:i4>
      </vt:variant>
      <vt:variant>
        <vt:lpwstr/>
      </vt:variant>
      <vt:variant>
        <vt:lpwstr>_Toc233900041</vt:lpwstr>
      </vt:variant>
      <vt:variant>
        <vt:i4>1638449</vt:i4>
      </vt:variant>
      <vt:variant>
        <vt:i4>26</vt:i4>
      </vt:variant>
      <vt:variant>
        <vt:i4>0</vt:i4>
      </vt:variant>
      <vt:variant>
        <vt:i4>5</vt:i4>
      </vt:variant>
      <vt:variant>
        <vt:lpwstr/>
      </vt:variant>
      <vt:variant>
        <vt:lpwstr>_Toc233900040</vt:lpwstr>
      </vt:variant>
      <vt:variant>
        <vt:i4>1966129</vt:i4>
      </vt:variant>
      <vt:variant>
        <vt:i4>20</vt:i4>
      </vt:variant>
      <vt:variant>
        <vt:i4>0</vt:i4>
      </vt:variant>
      <vt:variant>
        <vt:i4>5</vt:i4>
      </vt:variant>
      <vt:variant>
        <vt:lpwstr/>
      </vt:variant>
      <vt:variant>
        <vt:lpwstr>_Toc233900039</vt:lpwstr>
      </vt:variant>
      <vt:variant>
        <vt:i4>1966129</vt:i4>
      </vt:variant>
      <vt:variant>
        <vt:i4>14</vt:i4>
      </vt:variant>
      <vt:variant>
        <vt:i4>0</vt:i4>
      </vt:variant>
      <vt:variant>
        <vt:i4>5</vt:i4>
      </vt:variant>
      <vt:variant>
        <vt:lpwstr/>
      </vt:variant>
      <vt:variant>
        <vt:lpwstr>_Toc233900038</vt:lpwstr>
      </vt:variant>
      <vt:variant>
        <vt:i4>1966129</vt:i4>
      </vt:variant>
      <vt:variant>
        <vt:i4>8</vt:i4>
      </vt:variant>
      <vt:variant>
        <vt:i4>0</vt:i4>
      </vt:variant>
      <vt:variant>
        <vt:i4>5</vt:i4>
      </vt:variant>
      <vt:variant>
        <vt:lpwstr/>
      </vt:variant>
      <vt:variant>
        <vt:lpwstr>_Toc233900037</vt:lpwstr>
      </vt:variant>
      <vt:variant>
        <vt:i4>3211309</vt:i4>
      </vt:variant>
      <vt:variant>
        <vt:i4>3</vt:i4>
      </vt:variant>
      <vt:variant>
        <vt:i4>0</vt:i4>
      </vt:variant>
      <vt:variant>
        <vt:i4>5</vt:i4>
      </vt:variant>
      <vt:variant>
        <vt:lpwstr>https://www.coventry.ac.uk/london/legal-documents/general-regulations/</vt:lpwstr>
      </vt:variant>
      <vt:variant>
        <vt:lpwstr/>
      </vt:variant>
      <vt:variant>
        <vt:i4>7471161</vt:i4>
      </vt:variant>
      <vt:variant>
        <vt:i4>0</vt:i4>
      </vt:variant>
      <vt:variant>
        <vt:i4>0</vt:i4>
      </vt:variant>
      <vt:variant>
        <vt:i4>5</vt:i4>
      </vt:variant>
      <vt:variant>
        <vt:lpwstr>https://livecoventryac.sharepoint.com/sites/students-london-registry/SitePages/Academic-Integrity.aspx?csf=1&amp;web=1&amp;e=hgcJhm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Ashok Sunuwar</dc:creator>
  <cp:keywords/>
  <cp:lastModifiedBy>Ashok Sunuwar</cp:lastModifiedBy>
  <cp:revision>1434</cp:revision>
  <cp:lastPrinted>2026-07-27T08:51:00Z</cp:lastPrinted>
  <dcterms:created xsi:type="dcterms:W3CDTF">2024-11-05T08:57:00Z</dcterms:created>
  <dcterms:modified xsi:type="dcterms:W3CDTF">2026-08-11T11:30:00Z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c2f2d092d396e797cc63394430e9cd03ffddedd7594e7efc88fac3b6d09801b2</vt:lpwstr>
  </property>
</Properties>
</file>