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B7E941" w14:textId="77777777" w:rsidR="00E10CE8" w:rsidRPr="00E10CE8" w:rsidRDefault="00E10CE8" w:rsidP="00E10CE8">
      <w:pPr>
        <w:rPr>
          <w:lang w:eastAsia="en-US"/>
        </w:rPr>
      </w:pPr>
    </w:p>
    <w:sdt>
      <w:sdtPr>
        <w:rPr>
          <w:rFonts w:ascii="Arial" w:eastAsia="Calibri" w:hAnsi="Arial" w:cs="Arial"/>
          <w:color w:val="auto"/>
          <w:sz w:val="24"/>
          <w:szCs w:val="24"/>
          <w:lang w:val="en-GB" w:eastAsia="en-GB"/>
        </w:rPr>
        <w:id w:val="-1335447867"/>
        <w:docPartObj>
          <w:docPartGallery w:val="Table of Contents"/>
          <w:docPartUnique/>
        </w:docPartObj>
      </w:sdtPr>
      <w:sdtEndPr>
        <w:rPr>
          <w:rFonts w:eastAsia="Times New Roman"/>
          <w:noProof/>
        </w:rPr>
      </w:sdtEndPr>
      <w:sdtContent>
        <w:p w14:paraId="1D6EE2A9" w14:textId="77777777" w:rsidR="00372ECC" w:rsidRPr="00AE6486" w:rsidRDefault="00372ECC" w:rsidP="00E10CE8">
          <w:pPr>
            <w:pStyle w:val="TOCHeading"/>
            <w:spacing w:line="360" w:lineRule="auto"/>
            <w:rPr>
              <w:rFonts w:ascii="Arial" w:hAnsi="Arial" w:cs="Arial"/>
              <w:sz w:val="24"/>
              <w:szCs w:val="24"/>
            </w:rPr>
          </w:pPr>
          <w:r w:rsidRPr="00AE6486">
            <w:rPr>
              <w:rFonts w:ascii="Arial" w:hAnsi="Arial" w:cs="Arial"/>
              <w:sz w:val="24"/>
              <w:szCs w:val="24"/>
            </w:rPr>
            <w:t>Content</w:t>
          </w:r>
        </w:p>
        <w:p w14:paraId="10BBA0F1" w14:textId="2A22B0B0" w:rsidR="00AE6486" w:rsidRPr="00AE6486" w:rsidRDefault="00372ECC">
          <w:pPr>
            <w:pStyle w:val="TOC1"/>
            <w:tabs>
              <w:tab w:val="right" w:leader="dot" w:pos="9010"/>
            </w:tabs>
            <w:rPr>
              <w:rFonts w:asciiTheme="minorHAnsi" w:eastAsiaTheme="minorEastAsia" w:hAnsiTheme="minorHAnsi" w:cstheme="minorBidi"/>
              <w:noProof/>
              <w:kern w:val="2"/>
              <w:szCs w:val="24"/>
              <w:lang w:eastAsia="en-GB"/>
              <w14:ligatures w14:val="standardContextual"/>
            </w:rPr>
          </w:pPr>
          <w:r w:rsidRPr="00AE6486">
            <w:rPr>
              <w:rFonts w:cs="Arial"/>
              <w:szCs w:val="24"/>
            </w:rPr>
            <w:fldChar w:fldCharType="begin"/>
          </w:r>
          <w:r w:rsidRPr="00AE6486">
            <w:rPr>
              <w:rFonts w:cs="Arial"/>
              <w:szCs w:val="24"/>
            </w:rPr>
            <w:instrText xml:space="preserve"> TOC \o "1-3" \h \z \u </w:instrText>
          </w:r>
          <w:r w:rsidRPr="00AE6486">
            <w:rPr>
              <w:rFonts w:cs="Arial"/>
              <w:szCs w:val="24"/>
            </w:rPr>
            <w:fldChar w:fldCharType="separate"/>
          </w:r>
          <w:hyperlink w:anchor="_Toc236867885" w:history="1">
            <w:r w:rsidR="00AE6486" w:rsidRPr="00AE6486">
              <w:rPr>
                <w:rStyle w:val="Hyperlink"/>
                <w:noProof/>
              </w:rPr>
              <w:t>Introduction</w:t>
            </w:r>
            <w:r w:rsidR="00AE6486" w:rsidRPr="00AE6486">
              <w:rPr>
                <w:noProof/>
                <w:webHidden/>
              </w:rPr>
              <w:tab/>
            </w:r>
            <w:r w:rsidR="00AE6486" w:rsidRPr="00AE6486">
              <w:rPr>
                <w:noProof/>
                <w:webHidden/>
              </w:rPr>
              <w:fldChar w:fldCharType="begin"/>
            </w:r>
            <w:r w:rsidR="00AE6486" w:rsidRPr="00AE6486">
              <w:rPr>
                <w:noProof/>
                <w:webHidden/>
              </w:rPr>
              <w:instrText xml:space="preserve"> PAGEREF _Toc236867885 \h </w:instrText>
            </w:r>
            <w:r w:rsidR="00AE6486" w:rsidRPr="00AE6486">
              <w:rPr>
                <w:noProof/>
                <w:webHidden/>
              </w:rPr>
            </w:r>
            <w:r w:rsidR="00AE6486" w:rsidRPr="00AE6486">
              <w:rPr>
                <w:noProof/>
                <w:webHidden/>
              </w:rPr>
              <w:fldChar w:fldCharType="separate"/>
            </w:r>
            <w:r w:rsidR="00AE6486">
              <w:rPr>
                <w:noProof/>
                <w:webHidden/>
              </w:rPr>
              <w:t>1</w:t>
            </w:r>
            <w:r w:rsidR="00AE6486" w:rsidRPr="00AE6486">
              <w:rPr>
                <w:noProof/>
                <w:webHidden/>
              </w:rPr>
              <w:fldChar w:fldCharType="end"/>
            </w:r>
          </w:hyperlink>
        </w:p>
        <w:p w14:paraId="091A026A" w14:textId="493269D0" w:rsidR="00AE6486" w:rsidRPr="00AE6486" w:rsidRDefault="00AE6486">
          <w:pPr>
            <w:pStyle w:val="TOC1"/>
            <w:tabs>
              <w:tab w:val="right" w:leader="dot" w:pos="9010"/>
            </w:tabs>
            <w:rPr>
              <w:rFonts w:asciiTheme="minorHAnsi" w:eastAsiaTheme="minorEastAsia" w:hAnsiTheme="minorHAnsi" w:cstheme="minorBidi"/>
              <w:noProof/>
              <w:kern w:val="2"/>
              <w:szCs w:val="24"/>
              <w:lang w:eastAsia="en-GB"/>
              <w14:ligatures w14:val="standardContextual"/>
            </w:rPr>
          </w:pPr>
          <w:hyperlink w:anchor="_Toc236867886" w:history="1">
            <w:r w:rsidRPr="00AE6486">
              <w:rPr>
                <w:rStyle w:val="Hyperlink"/>
                <w:noProof/>
              </w:rPr>
              <w:t>Recruitment and Selection</w:t>
            </w:r>
            <w:r w:rsidRPr="00AE6486">
              <w:rPr>
                <w:noProof/>
                <w:webHidden/>
              </w:rPr>
              <w:tab/>
            </w:r>
            <w:r w:rsidRPr="00AE6486">
              <w:rPr>
                <w:noProof/>
                <w:webHidden/>
              </w:rPr>
              <w:fldChar w:fldCharType="begin"/>
            </w:r>
            <w:r w:rsidRPr="00AE6486">
              <w:rPr>
                <w:noProof/>
                <w:webHidden/>
              </w:rPr>
              <w:instrText xml:space="preserve"> PAGEREF _Toc236867886 \h </w:instrText>
            </w:r>
            <w:r w:rsidRPr="00AE6486">
              <w:rPr>
                <w:noProof/>
                <w:webHidden/>
              </w:rPr>
            </w:r>
            <w:r w:rsidRPr="00AE6486">
              <w:rPr>
                <w:noProof/>
                <w:webHidden/>
              </w:rPr>
              <w:fldChar w:fldCharType="separate"/>
            </w:r>
            <w:r>
              <w:rPr>
                <w:noProof/>
                <w:webHidden/>
              </w:rPr>
              <w:t>6</w:t>
            </w:r>
            <w:r w:rsidRPr="00AE6486">
              <w:rPr>
                <w:noProof/>
                <w:webHidden/>
              </w:rPr>
              <w:fldChar w:fldCharType="end"/>
            </w:r>
          </w:hyperlink>
        </w:p>
        <w:p w14:paraId="45DB4D36" w14:textId="0B83F0FD" w:rsidR="00AE6486" w:rsidRPr="00AE6486" w:rsidRDefault="00AE6486">
          <w:pPr>
            <w:pStyle w:val="TOC1"/>
            <w:tabs>
              <w:tab w:val="right" w:leader="dot" w:pos="9010"/>
            </w:tabs>
            <w:rPr>
              <w:rFonts w:asciiTheme="minorHAnsi" w:eastAsiaTheme="minorEastAsia" w:hAnsiTheme="minorHAnsi" w:cstheme="minorBidi"/>
              <w:noProof/>
              <w:kern w:val="2"/>
              <w:szCs w:val="24"/>
              <w:lang w:eastAsia="en-GB"/>
              <w14:ligatures w14:val="standardContextual"/>
            </w:rPr>
          </w:pPr>
          <w:hyperlink w:anchor="_Toc236867887" w:history="1">
            <w:r w:rsidRPr="00AE6486">
              <w:rPr>
                <w:rStyle w:val="Hyperlink"/>
                <w:rFonts w:cs="Arial"/>
                <w:noProof/>
                <w:kern w:val="36"/>
              </w:rPr>
              <w:t>Training and Development</w:t>
            </w:r>
            <w:r w:rsidRPr="00AE6486">
              <w:rPr>
                <w:noProof/>
                <w:webHidden/>
              </w:rPr>
              <w:tab/>
            </w:r>
            <w:r w:rsidRPr="00AE6486">
              <w:rPr>
                <w:noProof/>
                <w:webHidden/>
              </w:rPr>
              <w:fldChar w:fldCharType="begin"/>
            </w:r>
            <w:r w:rsidRPr="00AE6486">
              <w:rPr>
                <w:noProof/>
                <w:webHidden/>
              </w:rPr>
              <w:instrText xml:space="preserve"> PAGEREF _Toc236867887 \h </w:instrText>
            </w:r>
            <w:r w:rsidRPr="00AE6486">
              <w:rPr>
                <w:noProof/>
                <w:webHidden/>
              </w:rPr>
            </w:r>
            <w:r w:rsidRPr="00AE6486">
              <w:rPr>
                <w:noProof/>
                <w:webHidden/>
              </w:rPr>
              <w:fldChar w:fldCharType="separate"/>
            </w:r>
            <w:r>
              <w:rPr>
                <w:noProof/>
                <w:webHidden/>
              </w:rPr>
              <w:t>11</w:t>
            </w:r>
            <w:r w:rsidRPr="00AE6486">
              <w:rPr>
                <w:noProof/>
                <w:webHidden/>
              </w:rPr>
              <w:fldChar w:fldCharType="end"/>
            </w:r>
          </w:hyperlink>
        </w:p>
        <w:p w14:paraId="092DED02" w14:textId="02496401" w:rsidR="00AE6486" w:rsidRPr="00AE6486" w:rsidRDefault="00AE6486">
          <w:pPr>
            <w:pStyle w:val="TOC1"/>
            <w:tabs>
              <w:tab w:val="right" w:leader="dot" w:pos="9010"/>
            </w:tabs>
            <w:rPr>
              <w:rFonts w:asciiTheme="minorHAnsi" w:eastAsiaTheme="minorEastAsia" w:hAnsiTheme="minorHAnsi" w:cstheme="minorBidi"/>
              <w:noProof/>
              <w:kern w:val="2"/>
              <w:szCs w:val="24"/>
              <w:lang w:eastAsia="en-GB"/>
              <w14:ligatures w14:val="standardContextual"/>
            </w:rPr>
          </w:pPr>
          <w:hyperlink w:anchor="_Toc236867888" w:history="1">
            <w:r w:rsidRPr="00AE6486">
              <w:rPr>
                <w:rStyle w:val="Hyperlink"/>
                <w:noProof/>
              </w:rPr>
              <w:t>Rewards and Performance Strategy</w:t>
            </w:r>
            <w:r w:rsidRPr="00AE6486">
              <w:rPr>
                <w:noProof/>
                <w:webHidden/>
              </w:rPr>
              <w:tab/>
            </w:r>
            <w:r w:rsidRPr="00AE6486">
              <w:rPr>
                <w:noProof/>
                <w:webHidden/>
              </w:rPr>
              <w:fldChar w:fldCharType="begin"/>
            </w:r>
            <w:r w:rsidRPr="00AE6486">
              <w:rPr>
                <w:noProof/>
                <w:webHidden/>
              </w:rPr>
              <w:instrText xml:space="preserve"> PAGEREF _Toc236867888 \h </w:instrText>
            </w:r>
            <w:r w:rsidRPr="00AE6486">
              <w:rPr>
                <w:noProof/>
                <w:webHidden/>
              </w:rPr>
            </w:r>
            <w:r w:rsidRPr="00AE6486">
              <w:rPr>
                <w:noProof/>
                <w:webHidden/>
              </w:rPr>
              <w:fldChar w:fldCharType="separate"/>
            </w:r>
            <w:r>
              <w:rPr>
                <w:noProof/>
                <w:webHidden/>
              </w:rPr>
              <w:t>16</w:t>
            </w:r>
            <w:r w:rsidRPr="00AE6486">
              <w:rPr>
                <w:noProof/>
                <w:webHidden/>
              </w:rPr>
              <w:fldChar w:fldCharType="end"/>
            </w:r>
          </w:hyperlink>
        </w:p>
        <w:p w14:paraId="41EA17C7" w14:textId="6C3F7143" w:rsidR="00AE6486" w:rsidRPr="00AE6486" w:rsidRDefault="00AE6486" w:rsidP="00AE6486">
          <w:pPr>
            <w:pStyle w:val="TOC2"/>
            <w:tabs>
              <w:tab w:val="right" w:leader="dot" w:pos="9010"/>
            </w:tabs>
            <w:ind w:left="0"/>
            <w:rPr>
              <w:rFonts w:asciiTheme="minorHAnsi" w:eastAsiaTheme="minorEastAsia" w:hAnsiTheme="minorHAnsi" w:cstheme="minorBidi"/>
              <w:noProof/>
              <w:kern w:val="2"/>
              <w:szCs w:val="24"/>
              <w:lang w:eastAsia="en-GB"/>
              <w14:ligatures w14:val="standardContextual"/>
            </w:rPr>
          </w:pPr>
          <w:hyperlink w:anchor="_Toc236867889" w:history="1">
            <w:r w:rsidRPr="00AE6486">
              <w:rPr>
                <w:rStyle w:val="Hyperlink"/>
                <w:rFonts w:cs="Arial"/>
                <w:noProof/>
              </w:rPr>
              <w:t>Diversity and Inclusion</w:t>
            </w:r>
            <w:r w:rsidRPr="00AE6486">
              <w:rPr>
                <w:noProof/>
                <w:webHidden/>
              </w:rPr>
              <w:tab/>
            </w:r>
            <w:r w:rsidRPr="00AE6486">
              <w:rPr>
                <w:noProof/>
                <w:webHidden/>
              </w:rPr>
              <w:fldChar w:fldCharType="begin"/>
            </w:r>
            <w:r w:rsidRPr="00AE6486">
              <w:rPr>
                <w:noProof/>
                <w:webHidden/>
              </w:rPr>
              <w:instrText xml:space="preserve"> PAGEREF _Toc236867889 \h </w:instrText>
            </w:r>
            <w:r w:rsidRPr="00AE6486">
              <w:rPr>
                <w:noProof/>
                <w:webHidden/>
              </w:rPr>
            </w:r>
            <w:r w:rsidRPr="00AE6486">
              <w:rPr>
                <w:noProof/>
                <w:webHidden/>
              </w:rPr>
              <w:fldChar w:fldCharType="separate"/>
            </w:r>
            <w:r>
              <w:rPr>
                <w:noProof/>
                <w:webHidden/>
              </w:rPr>
              <w:t>18</w:t>
            </w:r>
            <w:r w:rsidRPr="00AE6486">
              <w:rPr>
                <w:noProof/>
                <w:webHidden/>
              </w:rPr>
              <w:fldChar w:fldCharType="end"/>
            </w:r>
          </w:hyperlink>
        </w:p>
        <w:p w14:paraId="4C9F1405" w14:textId="7F087A62" w:rsidR="00AE6486" w:rsidRPr="00AE6486" w:rsidRDefault="00AE6486">
          <w:pPr>
            <w:pStyle w:val="TOC1"/>
            <w:tabs>
              <w:tab w:val="right" w:leader="dot" w:pos="9010"/>
            </w:tabs>
            <w:rPr>
              <w:rFonts w:asciiTheme="minorHAnsi" w:eastAsiaTheme="minorEastAsia" w:hAnsiTheme="minorHAnsi" w:cstheme="minorBidi"/>
              <w:noProof/>
              <w:kern w:val="2"/>
              <w:szCs w:val="24"/>
              <w:lang w:eastAsia="en-GB"/>
              <w14:ligatures w14:val="standardContextual"/>
            </w:rPr>
          </w:pPr>
          <w:hyperlink w:anchor="_Toc236867890" w:history="1">
            <w:r w:rsidRPr="00AE6486">
              <w:rPr>
                <w:rStyle w:val="Hyperlink"/>
                <w:noProof/>
              </w:rPr>
              <w:t>Engagement, Participation and Wellbeing</w:t>
            </w:r>
            <w:r w:rsidRPr="00AE6486">
              <w:rPr>
                <w:noProof/>
                <w:webHidden/>
              </w:rPr>
              <w:tab/>
            </w:r>
            <w:r w:rsidRPr="00AE6486">
              <w:rPr>
                <w:noProof/>
                <w:webHidden/>
              </w:rPr>
              <w:fldChar w:fldCharType="begin"/>
            </w:r>
            <w:r w:rsidRPr="00AE6486">
              <w:rPr>
                <w:noProof/>
                <w:webHidden/>
              </w:rPr>
              <w:instrText xml:space="preserve"> PAGEREF _Toc236867890 \h </w:instrText>
            </w:r>
            <w:r w:rsidRPr="00AE6486">
              <w:rPr>
                <w:noProof/>
                <w:webHidden/>
              </w:rPr>
            </w:r>
            <w:r w:rsidRPr="00AE6486">
              <w:rPr>
                <w:noProof/>
                <w:webHidden/>
              </w:rPr>
              <w:fldChar w:fldCharType="separate"/>
            </w:r>
            <w:r>
              <w:rPr>
                <w:noProof/>
                <w:webHidden/>
              </w:rPr>
              <w:t>21</w:t>
            </w:r>
            <w:r w:rsidRPr="00AE6486">
              <w:rPr>
                <w:noProof/>
                <w:webHidden/>
              </w:rPr>
              <w:fldChar w:fldCharType="end"/>
            </w:r>
          </w:hyperlink>
        </w:p>
        <w:p w14:paraId="0DCFDEC8" w14:textId="158F31C7" w:rsidR="00AE6486" w:rsidRPr="00AE6486" w:rsidRDefault="00AE6486">
          <w:pPr>
            <w:pStyle w:val="TOC1"/>
            <w:tabs>
              <w:tab w:val="right" w:leader="dot" w:pos="9010"/>
            </w:tabs>
            <w:rPr>
              <w:rFonts w:asciiTheme="minorHAnsi" w:eastAsiaTheme="minorEastAsia" w:hAnsiTheme="minorHAnsi" w:cstheme="minorBidi"/>
              <w:noProof/>
              <w:kern w:val="2"/>
              <w:szCs w:val="24"/>
              <w:lang w:eastAsia="en-GB"/>
              <w14:ligatures w14:val="standardContextual"/>
            </w:rPr>
          </w:pPr>
          <w:hyperlink w:anchor="_Toc236867891" w:history="1">
            <w:r w:rsidRPr="00AE6486">
              <w:rPr>
                <w:rStyle w:val="Hyperlink"/>
                <w:noProof/>
              </w:rPr>
              <w:t>Human Resource Business Partner (HRBP)</w:t>
            </w:r>
            <w:r w:rsidRPr="00AE6486">
              <w:rPr>
                <w:noProof/>
                <w:webHidden/>
              </w:rPr>
              <w:tab/>
            </w:r>
            <w:r w:rsidRPr="00AE6486">
              <w:rPr>
                <w:noProof/>
                <w:webHidden/>
              </w:rPr>
              <w:fldChar w:fldCharType="begin"/>
            </w:r>
            <w:r w:rsidRPr="00AE6486">
              <w:rPr>
                <w:noProof/>
                <w:webHidden/>
              </w:rPr>
              <w:instrText xml:space="preserve"> PAGEREF _Toc236867891 \h </w:instrText>
            </w:r>
            <w:r w:rsidRPr="00AE6486">
              <w:rPr>
                <w:noProof/>
                <w:webHidden/>
              </w:rPr>
            </w:r>
            <w:r w:rsidRPr="00AE6486">
              <w:rPr>
                <w:noProof/>
                <w:webHidden/>
              </w:rPr>
              <w:fldChar w:fldCharType="separate"/>
            </w:r>
            <w:r>
              <w:rPr>
                <w:noProof/>
                <w:webHidden/>
              </w:rPr>
              <w:t>24</w:t>
            </w:r>
            <w:r w:rsidRPr="00AE6486">
              <w:rPr>
                <w:noProof/>
                <w:webHidden/>
              </w:rPr>
              <w:fldChar w:fldCharType="end"/>
            </w:r>
          </w:hyperlink>
        </w:p>
        <w:p w14:paraId="7AA265C3" w14:textId="0005F4F1" w:rsidR="00AE6486" w:rsidRPr="00AE6486" w:rsidRDefault="00AE6486">
          <w:pPr>
            <w:pStyle w:val="TOC1"/>
            <w:tabs>
              <w:tab w:val="right" w:leader="dot" w:pos="9010"/>
            </w:tabs>
            <w:rPr>
              <w:rFonts w:asciiTheme="minorHAnsi" w:eastAsiaTheme="minorEastAsia" w:hAnsiTheme="minorHAnsi" w:cstheme="minorBidi"/>
              <w:noProof/>
              <w:kern w:val="2"/>
              <w:szCs w:val="24"/>
              <w:lang w:eastAsia="en-GB"/>
              <w14:ligatures w14:val="standardContextual"/>
            </w:rPr>
          </w:pPr>
          <w:hyperlink w:anchor="_Toc236867892" w:history="1">
            <w:r w:rsidRPr="00AE6486">
              <w:rPr>
                <w:rStyle w:val="Hyperlink"/>
                <w:noProof/>
              </w:rPr>
              <w:t>Conclusion</w:t>
            </w:r>
            <w:r w:rsidRPr="00AE6486">
              <w:rPr>
                <w:noProof/>
                <w:webHidden/>
              </w:rPr>
              <w:tab/>
            </w:r>
            <w:r w:rsidRPr="00AE6486">
              <w:rPr>
                <w:noProof/>
                <w:webHidden/>
              </w:rPr>
              <w:fldChar w:fldCharType="begin"/>
            </w:r>
            <w:r w:rsidRPr="00AE6486">
              <w:rPr>
                <w:noProof/>
                <w:webHidden/>
              </w:rPr>
              <w:instrText xml:space="preserve"> PAGEREF _Toc236867892 \h </w:instrText>
            </w:r>
            <w:r w:rsidRPr="00AE6486">
              <w:rPr>
                <w:noProof/>
                <w:webHidden/>
              </w:rPr>
            </w:r>
            <w:r w:rsidRPr="00AE6486">
              <w:rPr>
                <w:noProof/>
                <w:webHidden/>
              </w:rPr>
              <w:fldChar w:fldCharType="separate"/>
            </w:r>
            <w:r>
              <w:rPr>
                <w:noProof/>
                <w:webHidden/>
              </w:rPr>
              <w:t>31</w:t>
            </w:r>
            <w:r w:rsidRPr="00AE6486">
              <w:rPr>
                <w:noProof/>
                <w:webHidden/>
              </w:rPr>
              <w:fldChar w:fldCharType="end"/>
            </w:r>
          </w:hyperlink>
        </w:p>
        <w:p w14:paraId="4326D224" w14:textId="2D53453D" w:rsidR="00AE6486" w:rsidRPr="00AE6486" w:rsidRDefault="00AE6486">
          <w:pPr>
            <w:pStyle w:val="TOC1"/>
            <w:tabs>
              <w:tab w:val="right" w:leader="dot" w:pos="9010"/>
            </w:tabs>
            <w:rPr>
              <w:rFonts w:asciiTheme="minorHAnsi" w:eastAsiaTheme="minorEastAsia" w:hAnsiTheme="minorHAnsi" w:cstheme="minorBidi"/>
              <w:noProof/>
              <w:kern w:val="2"/>
              <w:szCs w:val="24"/>
              <w:lang w:eastAsia="en-GB"/>
              <w14:ligatures w14:val="standardContextual"/>
            </w:rPr>
          </w:pPr>
          <w:hyperlink w:anchor="_Toc236867893" w:history="1">
            <w:r w:rsidRPr="00AE6486">
              <w:rPr>
                <w:rStyle w:val="Hyperlink"/>
                <w:noProof/>
              </w:rPr>
              <w:t>Recommendations</w:t>
            </w:r>
            <w:r w:rsidRPr="00AE6486">
              <w:rPr>
                <w:noProof/>
                <w:webHidden/>
              </w:rPr>
              <w:tab/>
            </w:r>
            <w:r w:rsidRPr="00AE6486">
              <w:rPr>
                <w:noProof/>
                <w:webHidden/>
              </w:rPr>
              <w:fldChar w:fldCharType="begin"/>
            </w:r>
            <w:r w:rsidRPr="00AE6486">
              <w:rPr>
                <w:noProof/>
                <w:webHidden/>
              </w:rPr>
              <w:instrText xml:space="preserve"> PAGEREF _Toc236867893 \h </w:instrText>
            </w:r>
            <w:r w:rsidRPr="00AE6486">
              <w:rPr>
                <w:noProof/>
                <w:webHidden/>
              </w:rPr>
            </w:r>
            <w:r w:rsidRPr="00AE6486">
              <w:rPr>
                <w:noProof/>
                <w:webHidden/>
              </w:rPr>
              <w:fldChar w:fldCharType="separate"/>
            </w:r>
            <w:r>
              <w:rPr>
                <w:noProof/>
                <w:webHidden/>
              </w:rPr>
              <w:t>33</w:t>
            </w:r>
            <w:r w:rsidRPr="00AE6486">
              <w:rPr>
                <w:noProof/>
                <w:webHidden/>
              </w:rPr>
              <w:fldChar w:fldCharType="end"/>
            </w:r>
          </w:hyperlink>
        </w:p>
        <w:p w14:paraId="435882EC" w14:textId="40A8C954" w:rsidR="00AE6486" w:rsidRPr="00AE6486" w:rsidRDefault="00AE6486">
          <w:pPr>
            <w:pStyle w:val="TOC1"/>
            <w:tabs>
              <w:tab w:val="right" w:leader="dot" w:pos="9010"/>
            </w:tabs>
            <w:rPr>
              <w:rFonts w:asciiTheme="minorHAnsi" w:eastAsiaTheme="minorEastAsia" w:hAnsiTheme="minorHAnsi" w:cstheme="minorBidi"/>
              <w:noProof/>
              <w:kern w:val="2"/>
              <w:szCs w:val="24"/>
              <w:lang w:eastAsia="en-GB"/>
              <w14:ligatures w14:val="standardContextual"/>
            </w:rPr>
          </w:pPr>
          <w:hyperlink w:anchor="_Toc236867894" w:history="1">
            <w:r w:rsidRPr="00AE6486">
              <w:rPr>
                <w:rStyle w:val="Hyperlink"/>
                <w:noProof/>
              </w:rPr>
              <w:t>Personal Reflection</w:t>
            </w:r>
            <w:r w:rsidRPr="00AE6486">
              <w:rPr>
                <w:noProof/>
                <w:webHidden/>
              </w:rPr>
              <w:tab/>
            </w:r>
            <w:r w:rsidRPr="00AE6486">
              <w:rPr>
                <w:noProof/>
                <w:webHidden/>
              </w:rPr>
              <w:fldChar w:fldCharType="begin"/>
            </w:r>
            <w:r w:rsidRPr="00AE6486">
              <w:rPr>
                <w:noProof/>
                <w:webHidden/>
              </w:rPr>
              <w:instrText xml:space="preserve"> PAGEREF _Toc236867894 \h </w:instrText>
            </w:r>
            <w:r w:rsidRPr="00AE6486">
              <w:rPr>
                <w:noProof/>
                <w:webHidden/>
              </w:rPr>
            </w:r>
            <w:r w:rsidRPr="00AE6486">
              <w:rPr>
                <w:noProof/>
                <w:webHidden/>
              </w:rPr>
              <w:fldChar w:fldCharType="separate"/>
            </w:r>
            <w:r>
              <w:rPr>
                <w:noProof/>
                <w:webHidden/>
              </w:rPr>
              <w:t>36</w:t>
            </w:r>
            <w:r w:rsidRPr="00AE6486">
              <w:rPr>
                <w:noProof/>
                <w:webHidden/>
              </w:rPr>
              <w:fldChar w:fldCharType="end"/>
            </w:r>
          </w:hyperlink>
        </w:p>
        <w:p w14:paraId="35A37B64" w14:textId="110E3F4E" w:rsidR="00AE6486" w:rsidRPr="00AE6486" w:rsidRDefault="00AE6486">
          <w:pPr>
            <w:pStyle w:val="TOC1"/>
            <w:tabs>
              <w:tab w:val="right" w:leader="dot" w:pos="9010"/>
            </w:tabs>
            <w:rPr>
              <w:rFonts w:asciiTheme="minorHAnsi" w:eastAsiaTheme="minorEastAsia" w:hAnsiTheme="minorHAnsi" w:cstheme="minorBidi"/>
              <w:noProof/>
              <w:kern w:val="2"/>
              <w:szCs w:val="24"/>
              <w:lang w:eastAsia="en-GB"/>
              <w14:ligatures w14:val="standardContextual"/>
            </w:rPr>
          </w:pPr>
          <w:hyperlink w:anchor="_Toc236867895" w:history="1">
            <w:r w:rsidRPr="00AE6486">
              <w:rPr>
                <w:rStyle w:val="Hyperlink"/>
                <w:noProof/>
              </w:rPr>
              <w:t>References</w:t>
            </w:r>
            <w:r w:rsidRPr="00AE6486">
              <w:rPr>
                <w:noProof/>
                <w:webHidden/>
              </w:rPr>
              <w:tab/>
            </w:r>
            <w:r w:rsidRPr="00AE6486">
              <w:rPr>
                <w:noProof/>
                <w:webHidden/>
              </w:rPr>
              <w:fldChar w:fldCharType="begin"/>
            </w:r>
            <w:r w:rsidRPr="00AE6486">
              <w:rPr>
                <w:noProof/>
                <w:webHidden/>
              </w:rPr>
              <w:instrText xml:space="preserve"> PAGEREF _Toc236867895 \h </w:instrText>
            </w:r>
            <w:r w:rsidRPr="00AE6486">
              <w:rPr>
                <w:noProof/>
                <w:webHidden/>
              </w:rPr>
            </w:r>
            <w:r w:rsidRPr="00AE6486">
              <w:rPr>
                <w:noProof/>
                <w:webHidden/>
              </w:rPr>
              <w:fldChar w:fldCharType="separate"/>
            </w:r>
            <w:r>
              <w:rPr>
                <w:noProof/>
                <w:webHidden/>
              </w:rPr>
              <w:t>41</w:t>
            </w:r>
            <w:r w:rsidRPr="00AE6486">
              <w:rPr>
                <w:noProof/>
                <w:webHidden/>
              </w:rPr>
              <w:fldChar w:fldCharType="end"/>
            </w:r>
          </w:hyperlink>
        </w:p>
        <w:p w14:paraId="331C8493" w14:textId="5BC17522" w:rsidR="001C4764" w:rsidRPr="00AE6486" w:rsidRDefault="00372ECC" w:rsidP="00E10CE8">
          <w:pPr>
            <w:spacing w:line="360" w:lineRule="auto"/>
            <w:rPr>
              <w:rFonts w:ascii="Arial" w:hAnsi="Arial" w:cs="Arial"/>
            </w:rPr>
          </w:pPr>
          <w:r w:rsidRPr="00AE6486">
            <w:rPr>
              <w:rFonts w:ascii="Arial" w:hAnsi="Arial" w:cs="Arial"/>
              <w:noProof/>
            </w:rPr>
            <w:fldChar w:fldCharType="end"/>
          </w:r>
        </w:p>
      </w:sdtContent>
    </w:sdt>
    <w:p w14:paraId="6816C3A2" w14:textId="77777777" w:rsidR="001C4764" w:rsidRPr="00AE6486" w:rsidRDefault="001C4764" w:rsidP="00E10CE8">
      <w:pPr>
        <w:spacing w:line="360" w:lineRule="auto"/>
        <w:rPr>
          <w:rFonts w:ascii="Arial" w:hAnsi="Arial" w:cs="Arial"/>
        </w:rPr>
      </w:pPr>
    </w:p>
    <w:p w14:paraId="4C5BFB96" w14:textId="77777777" w:rsidR="001C4764" w:rsidRPr="00E10CE8" w:rsidRDefault="001C4764" w:rsidP="00E10CE8">
      <w:pPr>
        <w:spacing w:line="360" w:lineRule="auto"/>
        <w:rPr>
          <w:rFonts w:ascii="Arial" w:hAnsi="Arial" w:cs="Arial"/>
        </w:rPr>
      </w:pPr>
    </w:p>
    <w:p w14:paraId="7FCF8C3E" w14:textId="77777777" w:rsidR="001C4764" w:rsidRPr="00E10CE8" w:rsidRDefault="001C4764" w:rsidP="00E10CE8">
      <w:pPr>
        <w:tabs>
          <w:tab w:val="left" w:pos="1591"/>
        </w:tabs>
        <w:spacing w:line="360" w:lineRule="auto"/>
        <w:rPr>
          <w:rFonts w:ascii="Arial" w:hAnsi="Arial" w:cs="Arial"/>
        </w:rPr>
      </w:pPr>
      <w:r w:rsidRPr="00E10CE8">
        <w:rPr>
          <w:rFonts w:ascii="Arial" w:hAnsi="Arial" w:cs="Arial"/>
        </w:rPr>
        <w:tab/>
      </w:r>
    </w:p>
    <w:p w14:paraId="58443629" w14:textId="77777777" w:rsidR="001C4764" w:rsidRPr="00E10CE8" w:rsidRDefault="001C4764" w:rsidP="00E10CE8">
      <w:pPr>
        <w:pStyle w:val="TableofFigures"/>
        <w:tabs>
          <w:tab w:val="right" w:leader="dot" w:pos="9010"/>
        </w:tabs>
        <w:rPr>
          <w:rFonts w:ascii="Arial" w:eastAsiaTheme="minorEastAsia" w:hAnsi="Arial" w:cs="Arial"/>
          <w:i w:val="0"/>
          <w:iCs w:val="0"/>
          <w:noProof/>
          <w:sz w:val="22"/>
          <w:szCs w:val="22"/>
          <w:lang w:eastAsia="en-GB"/>
        </w:rPr>
      </w:pPr>
      <w:r w:rsidRPr="00E10CE8">
        <w:rPr>
          <w:rFonts w:ascii="Arial" w:hAnsi="Arial" w:cs="Arial"/>
        </w:rPr>
        <w:fldChar w:fldCharType="begin"/>
      </w:r>
      <w:r w:rsidRPr="00E10CE8">
        <w:rPr>
          <w:rFonts w:ascii="Arial" w:hAnsi="Arial" w:cs="Arial"/>
        </w:rPr>
        <w:instrText xml:space="preserve"> TOC \h \z \c "Table" </w:instrText>
      </w:r>
      <w:r w:rsidRPr="00E10CE8">
        <w:rPr>
          <w:rFonts w:ascii="Arial" w:hAnsi="Arial" w:cs="Arial"/>
        </w:rPr>
        <w:fldChar w:fldCharType="separate"/>
      </w:r>
    </w:p>
    <w:p w14:paraId="4BDEA4AD" w14:textId="77777777" w:rsidR="001C4764" w:rsidRPr="00E10CE8" w:rsidRDefault="001C4764" w:rsidP="00E10CE8">
      <w:pPr>
        <w:tabs>
          <w:tab w:val="left" w:pos="1591"/>
        </w:tabs>
        <w:spacing w:line="360" w:lineRule="auto"/>
        <w:rPr>
          <w:rFonts w:ascii="Arial" w:hAnsi="Arial" w:cs="Arial"/>
        </w:rPr>
      </w:pPr>
      <w:r w:rsidRPr="00E10CE8">
        <w:rPr>
          <w:rFonts w:ascii="Arial" w:hAnsi="Arial" w:cs="Arial"/>
        </w:rPr>
        <w:fldChar w:fldCharType="end"/>
      </w:r>
    </w:p>
    <w:p w14:paraId="37605C43" w14:textId="77777777" w:rsidR="001C4764" w:rsidRPr="00E10CE8" w:rsidRDefault="001C4764" w:rsidP="00E10CE8">
      <w:pPr>
        <w:tabs>
          <w:tab w:val="left" w:pos="1591"/>
        </w:tabs>
        <w:spacing w:line="360" w:lineRule="auto"/>
        <w:rPr>
          <w:rFonts w:ascii="Arial" w:hAnsi="Arial" w:cs="Arial"/>
        </w:rPr>
      </w:pPr>
    </w:p>
    <w:p w14:paraId="06C040E6" w14:textId="77777777" w:rsidR="001C4764" w:rsidRPr="00E10CE8" w:rsidRDefault="001C4764" w:rsidP="00E10CE8">
      <w:pPr>
        <w:tabs>
          <w:tab w:val="left" w:pos="1591"/>
        </w:tabs>
        <w:spacing w:line="360" w:lineRule="auto"/>
        <w:rPr>
          <w:rFonts w:ascii="Arial" w:hAnsi="Arial" w:cs="Arial"/>
        </w:rPr>
      </w:pPr>
    </w:p>
    <w:p w14:paraId="188660C5" w14:textId="77777777" w:rsidR="001C4764" w:rsidRPr="00E10CE8" w:rsidRDefault="001C4764" w:rsidP="00E10CE8">
      <w:pPr>
        <w:tabs>
          <w:tab w:val="left" w:pos="1591"/>
        </w:tabs>
        <w:spacing w:line="360" w:lineRule="auto"/>
        <w:rPr>
          <w:rFonts w:ascii="Arial" w:hAnsi="Arial" w:cs="Arial"/>
        </w:rPr>
      </w:pPr>
    </w:p>
    <w:p w14:paraId="763B154B" w14:textId="77777777" w:rsidR="001C4764" w:rsidRPr="00E10CE8" w:rsidRDefault="001C4764" w:rsidP="00E10CE8">
      <w:pPr>
        <w:tabs>
          <w:tab w:val="left" w:pos="1591"/>
        </w:tabs>
        <w:spacing w:line="360" w:lineRule="auto"/>
        <w:rPr>
          <w:rFonts w:ascii="Arial" w:hAnsi="Arial" w:cs="Arial"/>
        </w:rPr>
      </w:pPr>
    </w:p>
    <w:p w14:paraId="53ACD322" w14:textId="77777777" w:rsidR="001C4764" w:rsidRPr="00E10CE8" w:rsidRDefault="001C4764" w:rsidP="00E10CE8">
      <w:pPr>
        <w:tabs>
          <w:tab w:val="left" w:pos="1591"/>
        </w:tabs>
        <w:spacing w:line="360" w:lineRule="auto"/>
        <w:rPr>
          <w:rFonts w:ascii="Arial" w:hAnsi="Arial" w:cs="Arial"/>
        </w:rPr>
      </w:pPr>
    </w:p>
    <w:p w14:paraId="282CA6FB" w14:textId="77777777" w:rsidR="001C4764" w:rsidRPr="00E10CE8" w:rsidRDefault="001C4764" w:rsidP="00E10CE8">
      <w:pPr>
        <w:tabs>
          <w:tab w:val="left" w:pos="1591"/>
        </w:tabs>
        <w:spacing w:line="360" w:lineRule="auto"/>
        <w:rPr>
          <w:rFonts w:ascii="Arial" w:hAnsi="Arial" w:cs="Arial"/>
        </w:rPr>
      </w:pPr>
    </w:p>
    <w:p w14:paraId="511D1D3A" w14:textId="77777777" w:rsidR="001C4764" w:rsidRPr="00E10CE8" w:rsidRDefault="001C4764" w:rsidP="00E10CE8">
      <w:pPr>
        <w:tabs>
          <w:tab w:val="left" w:pos="1591"/>
        </w:tabs>
        <w:spacing w:line="360" w:lineRule="auto"/>
        <w:rPr>
          <w:rFonts w:ascii="Arial" w:hAnsi="Arial" w:cs="Arial"/>
        </w:rPr>
      </w:pPr>
    </w:p>
    <w:p w14:paraId="64F726DD" w14:textId="77777777" w:rsidR="001C4764" w:rsidRPr="00E10CE8" w:rsidRDefault="001C4764" w:rsidP="00E10CE8">
      <w:pPr>
        <w:tabs>
          <w:tab w:val="left" w:pos="1591"/>
        </w:tabs>
        <w:spacing w:line="360" w:lineRule="auto"/>
        <w:rPr>
          <w:rFonts w:ascii="Arial" w:hAnsi="Arial" w:cs="Arial"/>
        </w:rPr>
      </w:pPr>
    </w:p>
    <w:p w14:paraId="789AE298" w14:textId="77777777" w:rsidR="001C4764" w:rsidRPr="00E10CE8" w:rsidRDefault="001C4764" w:rsidP="00E10CE8">
      <w:pPr>
        <w:tabs>
          <w:tab w:val="left" w:pos="1591"/>
        </w:tabs>
        <w:spacing w:line="360" w:lineRule="auto"/>
        <w:rPr>
          <w:rFonts w:ascii="Arial" w:hAnsi="Arial" w:cs="Arial"/>
        </w:rPr>
      </w:pPr>
    </w:p>
    <w:p w14:paraId="68F3DA27" w14:textId="77777777" w:rsidR="001C4764" w:rsidRPr="00E10CE8" w:rsidRDefault="001C4764" w:rsidP="00E10CE8">
      <w:pPr>
        <w:tabs>
          <w:tab w:val="left" w:pos="1591"/>
        </w:tabs>
        <w:spacing w:line="360" w:lineRule="auto"/>
        <w:rPr>
          <w:rFonts w:ascii="Arial" w:hAnsi="Arial" w:cs="Arial"/>
        </w:rPr>
      </w:pPr>
    </w:p>
    <w:p w14:paraId="6E04EA73" w14:textId="77777777" w:rsidR="001C4764" w:rsidRPr="00E10CE8" w:rsidRDefault="001C4764" w:rsidP="00E10CE8">
      <w:pPr>
        <w:tabs>
          <w:tab w:val="left" w:pos="1591"/>
        </w:tabs>
        <w:spacing w:line="360" w:lineRule="auto"/>
        <w:rPr>
          <w:rFonts w:ascii="Arial" w:hAnsi="Arial" w:cs="Arial"/>
        </w:rPr>
      </w:pPr>
    </w:p>
    <w:p w14:paraId="4DA32747" w14:textId="77777777" w:rsidR="001C4764" w:rsidRPr="00E10CE8" w:rsidRDefault="001C4764" w:rsidP="00E10CE8">
      <w:pPr>
        <w:tabs>
          <w:tab w:val="left" w:pos="1591"/>
        </w:tabs>
        <w:spacing w:line="360" w:lineRule="auto"/>
        <w:rPr>
          <w:rFonts w:ascii="Arial" w:hAnsi="Arial" w:cs="Arial"/>
        </w:rPr>
      </w:pPr>
    </w:p>
    <w:p w14:paraId="07269F0C" w14:textId="77777777" w:rsidR="001C4764" w:rsidRPr="00E10CE8" w:rsidRDefault="001C4764" w:rsidP="00E10CE8">
      <w:pPr>
        <w:tabs>
          <w:tab w:val="left" w:pos="1591"/>
        </w:tabs>
        <w:spacing w:line="360" w:lineRule="auto"/>
        <w:rPr>
          <w:rFonts w:ascii="Arial" w:hAnsi="Arial" w:cs="Arial"/>
        </w:rPr>
      </w:pPr>
    </w:p>
    <w:p w14:paraId="6FB03113" w14:textId="77777777" w:rsidR="001C4764" w:rsidRPr="00E10CE8" w:rsidRDefault="001C4764" w:rsidP="00E10CE8">
      <w:pPr>
        <w:tabs>
          <w:tab w:val="left" w:pos="1591"/>
        </w:tabs>
        <w:spacing w:line="360" w:lineRule="auto"/>
        <w:rPr>
          <w:rFonts w:ascii="Arial" w:hAnsi="Arial" w:cs="Arial"/>
        </w:rPr>
      </w:pPr>
    </w:p>
    <w:p w14:paraId="55579C10" w14:textId="77777777" w:rsidR="001C4764" w:rsidRPr="00E10CE8" w:rsidRDefault="001C4764" w:rsidP="00E10CE8">
      <w:pPr>
        <w:tabs>
          <w:tab w:val="left" w:pos="3985"/>
        </w:tabs>
        <w:spacing w:line="360" w:lineRule="auto"/>
        <w:rPr>
          <w:rFonts w:ascii="Arial" w:hAnsi="Arial" w:cs="Arial"/>
        </w:rPr>
      </w:pPr>
      <w:r w:rsidRPr="00E10CE8">
        <w:rPr>
          <w:rFonts w:ascii="Arial" w:hAnsi="Arial" w:cs="Arial"/>
        </w:rPr>
        <w:tab/>
      </w:r>
    </w:p>
    <w:p w14:paraId="1D0AFCE3" w14:textId="77777777" w:rsidR="001C4764" w:rsidRPr="00E10CE8" w:rsidRDefault="001C4764" w:rsidP="00E10CE8">
      <w:pPr>
        <w:tabs>
          <w:tab w:val="left" w:pos="1591"/>
        </w:tabs>
        <w:spacing w:line="360" w:lineRule="auto"/>
        <w:rPr>
          <w:rFonts w:ascii="Arial" w:hAnsi="Arial" w:cs="Arial"/>
        </w:rPr>
      </w:pPr>
    </w:p>
    <w:p w14:paraId="49945998" w14:textId="77777777" w:rsidR="004E3FBA" w:rsidRPr="00E10CE8" w:rsidRDefault="004E3FBA" w:rsidP="00E10CE8">
      <w:pPr>
        <w:tabs>
          <w:tab w:val="left" w:pos="1591"/>
        </w:tabs>
        <w:spacing w:line="360" w:lineRule="auto"/>
        <w:jc w:val="center"/>
        <w:rPr>
          <w:rFonts w:ascii="Arial" w:hAnsi="Arial" w:cs="Arial"/>
        </w:rPr>
      </w:pPr>
    </w:p>
    <w:p w14:paraId="5B3E00D9" w14:textId="77777777" w:rsidR="004E3FBA" w:rsidRPr="00E10CE8" w:rsidRDefault="004E3FBA" w:rsidP="00E10CE8">
      <w:pPr>
        <w:tabs>
          <w:tab w:val="left" w:pos="1591"/>
        </w:tabs>
        <w:spacing w:line="360" w:lineRule="auto"/>
        <w:jc w:val="center"/>
        <w:rPr>
          <w:rFonts w:ascii="Arial" w:hAnsi="Arial" w:cs="Arial"/>
        </w:rPr>
      </w:pPr>
    </w:p>
    <w:p w14:paraId="74B35C7F" w14:textId="77777777" w:rsidR="004E3FBA" w:rsidRPr="00E10CE8" w:rsidRDefault="004E3FBA" w:rsidP="00E10CE8">
      <w:pPr>
        <w:tabs>
          <w:tab w:val="left" w:pos="1591"/>
        </w:tabs>
        <w:spacing w:line="360" w:lineRule="auto"/>
        <w:jc w:val="center"/>
        <w:rPr>
          <w:rFonts w:ascii="Arial" w:hAnsi="Arial" w:cs="Arial"/>
        </w:rPr>
      </w:pPr>
    </w:p>
    <w:p w14:paraId="1FF061E9" w14:textId="77777777" w:rsidR="004E3FBA" w:rsidRPr="00E10CE8" w:rsidRDefault="004E3FBA" w:rsidP="00E10CE8">
      <w:pPr>
        <w:tabs>
          <w:tab w:val="left" w:pos="1591"/>
        </w:tabs>
        <w:spacing w:line="360" w:lineRule="auto"/>
        <w:jc w:val="center"/>
        <w:rPr>
          <w:rFonts w:ascii="Arial" w:hAnsi="Arial" w:cs="Arial"/>
        </w:rPr>
      </w:pPr>
    </w:p>
    <w:p w14:paraId="63E8DF2A" w14:textId="77777777" w:rsidR="004E3FBA" w:rsidRPr="00E10CE8" w:rsidRDefault="004E3FBA" w:rsidP="00E10CE8">
      <w:pPr>
        <w:tabs>
          <w:tab w:val="left" w:pos="1591"/>
        </w:tabs>
        <w:spacing w:line="360" w:lineRule="auto"/>
        <w:jc w:val="center"/>
        <w:rPr>
          <w:rFonts w:ascii="Arial" w:hAnsi="Arial" w:cs="Arial"/>
        </w:rPr>
      </w:pPr>
    </w:p>
    <w:p w14:paraId="77C63EF2" w14:textId="77777777" w:rsidR="004E3FBA" w:rsidRPr="00E10CE8" w:rsidRDefault="004E3FBA" w:rsidP="00E10CE8">
      <w:pPr>
        <w:tabs>
          <w:tab w:val="left" w:pos="1591"/>
        </w:tabs>
        <w:spacing w:line="360" w:lineRule="auto"/>
        <w:jc w:val="center"/>
        <w:rPr>
          <w:rFonts w:ascii="Arial" w:hAnsi="Arial" w:cs="Arial"/>
        </w:rPr>
      </w:pPr>
    </w:p>
    <w:p w14:paraId="0B69D150" w14:textId="77777777" w:rsidR="004E3FBA" w:rsidRPr="00E10CE8" w:rsidRDefault="004E3FBA" w:rsidP="00E10CE8">
      <w:pPr>
        <w:tabs>
          <w:tab w:val="left" w:pos="1591"/>
        </w:tabs>
        <w:spacing w:line="360" w:lineRule="auto"/>
        <w:jc w:val="center"/>
        <w:rPr>
          <w:rFonts w:ascii="Arial" w:hAnsi="Arial" w:cs="Arial"/>
        </w:rPr>
      </w:pPr>
    </w:p>
    <w:p w14:paraId="758FA63A" w14:textId="77777777" w:rsidR="001C4764" w:rsidRPr="00E10CE8" w:rsidRDefault="00F077F5" w:rsidP="00E10CE8">
      <w:pPr>
        <w:tabs>
          <w:tab w:val="left" w:pos="1591"/>
        </w:tabs>
        <w:spacing w:line="360" w:lineRule="auto"/>
        <w:jc w:val="center"/>
        <w:rPr>
          <w:rFonts w:ascii="Arial" w:hAnsi="Arial" w:cs="Arial"/>
          <w:b/>
          <w:bCs/>
          <w:sz w:val="40"/>
          <w:szCs w:val="36"/>
        </w:rPr>
      </w:pPr>
      <w:r w:rsidRPr="00E10CE8">
        <w:rPr>
          <w:rFonts w:ascii="Arial" w:hAnsi="Arial" w:cs="Arial"/>
          <w:b/>
          <w:bCs/>
          <w:sz w:val="40"/>
          <w:szCs w:val="36"/>
        </w:rPr>
        <w:t xml:space="preserve">TATA </w:t>
      </w:r>
      <w:r w:rsidR="004E3FBA" w:rsidRPr="00E10CE8">
        <w:rPr>
          <w:rFonts w:ascii="Arial" w:hAnsi="Arial" w:cs="Arial"/>
          <w:b/>
          <w:bCs/>
          <w:sz w:val="40"/>
          <w:szCs w:val="36"/>
        </w:rPr>
        <w:t>Consultancy</w:t>
      </w:r>
      <w:r w:rsidRPr="00E10CE8">
        <w:rPr>
          <w:rFonts w:ascii="Arial" w:hAnsi="Arial" w:cs="Arial"/>
          <w:b/>
          <w:bCs/>
          <w:sz w:val="40"/>
          <w:szCs w:val="36"/>
        </w:rPr>
        <w:t xml:space="preserve"> Services </w:t>
      </w:r>
    </w:p>
    <w:p w14:paraId="22E8F9CE" w14:textId="77777777" w:rsidR="004E3FBA" w:rsidRPr="00E10CE8" w:rsidRDefault="00F077F5" w:rsidP="00E10CE8">
      <w:pPr>
        <w:tabs>
          <w:tab w:val="left" w:pos="1591"/>
        </w:tabs>
        <w:spacing w:line="360" w:lineRule="auto"/>
        <w:jc w:val="center"/>
        <w:rPr>
          <w:rFonts w:ascii="Arial" w:hAnsi="Arial" w:cs="Arial"/>
          <w:b/>
          <w:bCs/>
          <w:sz w:val="40"/>
          <w:szCs w:val="36"/>
        </w:rPr>
      </w:pPr>
      <w:r w:rsidRPr="00E10CE8">
        <w:rPr>
          <w:rFonts w:ascii="Arial" w:hAnsi="Arial" w:cs="Arial"/>
          <w:b/>
          <w:bCs/>
          <w:sz w:val="40"/>
          <w:szCs w:val="36"/>
        </w:rPr>
        <w:t>Human R</w:t>
      </w:r>
      <w:r w:rsidR="004E3FBA" w:rsidRPr="00E10CE8">
        <w:rPr>
          <w:rFonts w:ascii="Arial" w:hAnsi="Arial" w:cs="Arial"/>
          <w:b/>
          <w:bCs/>
          <w:sz w:val="40"/>
          <w:szCs w:val="36"/>
        </w:rPr>
        <w:t>esources Management Plan</w:t>
      </w:r>
    </w:p>
    <w:p w14:paraId="5EC41B8A" w14:textId="77777777" w:rsidR="00372ECC" w:rsidRPr="00E10CE8" w:rsidRDefault="00372ECC" w:rsidP="00E10CE8">
      <w:pPr>
        <w:spacing w:line="360" w:lineRule="auto"/>
        <w:rPr>
          <w:rFonts w:ascii="Arial" w:hAnsi="Arial" w:cs="Arial"/>
        </w:rPr>
        <w:sectPr w:rsidR="00372ECC" w:rsidRPr="00E10CE8" w:rsidSect="0013044B">
          <w:headerReference w:type="default" r:id="rId8"/>
          <w:footerReference w:type="default" r:id="rId9"/>
          <w:pgSz w:w="11900" w:h="16840" w:code="9"/>
          <w:pgMar w:top="1440" w:right="1440" w:bottom="1440" w:left="1440" w:header="708" w:footer="916" w:gutter="0"/>
          <w:pgNumType w:fmt="lowerRoman" w:start="1"/>
          <w:cols w:space="708"/>
          <w:docGrid w:linePitch="360"/>
        </w:sectPr>
      </w:pPr>
    </w:p>
    <w:p w14:paraId="246176D2" w14:textId="77777777" w:rsidR="008A61E8" w:rsidRPr="001F67B8" w:rsidRDefault="008A61E8" w:rsidP="001F67B8">
      <w:pPr>
        <w:pStyle w:val="Heading1"/>
      </w:pPr>
      <w:bookmarkStart w:id="0" w:name="_Toc236867885"/>
      <w:r w:rsidRPr="001F67B8">
        <w:lastRenderedPageBreak/>
        <w:t>Introduction</w:t>
      </w:r>
      <w:bookmarkEnd w:id="0"/>
      <w:r w:rsidR="55D6AF24" w:rsidRPr="001F67B8">
        <w:t xml:space="preserve"> </w:t>
      </w:r>
    </w:p>
    <w:p w14:paraId="4A18092A" w14:textId="77777777" w:rsidR="002530C5" w:rsidRPr="00E10CE8" w:rsidRDefault="006B0948" w:rsidP="00E10CE8">
      <w:pPr>
        <w:spacing w:line="360" w:lineRule="auto"/>
        <w:jc w:val="both"/>
        <w:rPr>
          <w:rFonts w:ascii="Arial" w:hAnsi="Arial" w:cs="Arial"/>
          <w:sz w:val="36"/>
          <w:szCs w:val="36"/>
        </w:rPr>
      </w:pPr>
      <w:r w:rsidRPr="00E10CE8">
        <w:rPr>
          <w:rFonts w:ascii="Arial" w:hAnsi="Arial" w:cs="Arial"/>
          <w:sz w:val="36"/>
          <w:szCs w:val="36"/>
        </w:rPr>
        <w:t>Strategic human resource management (SHRM) aligns people practices with organizational strategy, driving performance and sustaining competitive advantage (Bassett-Jones, 2023, p. 12). For multinationals in volatile global markets, international HRM (IHRM) becomes critical to survival and advantage, enabling firms to navigate complexity, facilitate cross-border learning, and manage a diverse global workforce (Schuler &amp; Tarique, 2007, p. 718). This white paper critically evaluates Tata Consultancy Services' current HRM strategy across key functional areas, assesses its effectiveness against contemporary HR theory and best practice, and proposes evidence-based recommendations to strengthen future performance.</w:t>
      </w:r>
    </w:p>
    <w:p w14:paraId="4A566C28" w14:textId="77777777" w:rsidR="001F689F" w:rsidRPr="00E10CE8" w:rsidRDefault="001F689F" w:rsidP="00E10CE8">
      <w:pPr>
        <w:spacing w:line="360" w:lineRule="auto"/>
        <w:jc w:val="both"/>
        <w:rPr>
          <w:rFonts w:ascii="Arial" w:hAnsi="Arial" w:cs="Arial"/>
          <w:sz w:val="36"/>
          <w:szCs w:val="36"/>
        </w:rPr>
      </w:pPr>
    </w:p>
    <w:p w14:paraId="7CBD6BB7" w14:textId="09DA423F" w:rsidR="00E44436" w:rsidRPr="00E10CE8" w:rsidRDefault="70DF72E5" w:rsidP="00E10CE8">
      <w:pPr>
        <w:spacing w:line="360" w:lineRule="auto"/>
        <w:jc w:val="both"/>
        <w:rPr>
          <w:rFonts w:ascii="Arial" w:hAnsi="Arial" w:cs="Arial"/>
          <w:color w:val="000000" w:themeColor="text1"/>
          <w:sz w:val="36"/>
          <w:szCs w:val="36"/>
        </w:rPr>
      </w:pPr>
      <w:r w:rsidRPr="00E10CE8">
        <w:rPr>
          <w:rFonts w:ascii="Arial" w:hAnsi="Arial" w:cs="Arial"/>
          <w:color w:val="000000" w:themeColor="text1"/>
          <w:sz w:val="36"/>
          <w:szCs w:val="36"/>
        </w:rPr>
        <w:t xml:space="preserve">Tata Consultancy Services (TCS) is a premier global IT, consulting and business solutions organisation within the Tata Group. As one of the world's largest IT service providers, it employs over 600,000 people across 55 countries and generates annual revenues exceeding USD 28 billion, operating across North America, Europe </w:t>
      </w:r>
      <w:r w:rsidRPr="00E10CE8">
        <w:rPr>
          <w:rFonts w:ascii="Arial" w:hAnsi="Arial" w:cs="Arial"/>
          <w:color w:val="000000" w:themeColor="text1"/>
          <w:sz w:val="36"/>
          <w:szCs w:val="36"/>
        </w:rPr>
        <w:lastRenderedPageBreak/>
        <w:t>and the UK, Asia-Pacific, Latin America, the Middle East and Africa, and India (TCS, n.d.-a). The table below lists the HR Awards presented to TCS in previous years.</w:t>
      </w:r>
    </w:p>
    <w:tbl>
      <w:tblPr>
        <w:tblStyle w:val="TableGrid"/>
        <w:tblW w:w="5000" w:type="pct"/>
        <w:tblLayout w:type="fixed"/>
        <w:tblLook w:val="04A0" w:firstRow="1" w:lastRow="0" w:firstColumn="1" w:lastColumn="0" w:noHBand="0" w:noVBand="1"/>
      </w:tblPr>
      <w:tblGrid>
        <w:gridCol w:w="987"/>
        <w:gridCol w:w="2835"/>
        <w:gridCol w:w="5188"/>
      </w:tblGrid>
      <w:tr w:rsidR="00184263" w:rsidRPr="00E10CE8" w14:paraId="40CED835" w14:textId="77777777" w:rsidTr="00AE6486">
        <w:tc>
          <w:tcPr>
            <w:tcW w:w="548" w:type="pct"/>
            <w:hideMark/>
          </w:tcPr>
          <w:p w14:paraId="6CF29CA3"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Year</w:t>
            </w:r>
          </w:p>
        </w:tc>
        <w:tc>
          <w:tcPr>
            <w:tcW w:w="1573" w:type="pct"/>
            <w:hideMark/>
          </w:tcPr>
          <w:p w14:paraId="32700ACF"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Award Title</w:t>
            </w:r>
          </w:p>
        </w:tc>
        <w:tc>
          <w:tcPr>
            <w:tcW w:w="2879" w:type="pct"/>
            <w:hideMark/>
          </w:tcPr>
          <w:p w14:paraId="0F5B68C4" w14:textId="77777777" w:rsidR="00184263" w:rsidRPr="00E10CE8" w:rsidRDefault="00693F7D"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Award Details</w:t>
            </w:r>
          </w:p>
        </w:tc>
      </w:tr>
      <w:tr w:rsidR="00184263" w:rsidRPr="00E10CE8" w14:paraId="65351593" w14:textId="77777777" w:rsidTr="00AE6486">
        <w:trPr>
          <w:cantSplit/>
          <w:trHeight w:val="1134"/>
        </w:trPr>
        <w:tc>
          <w:tcPr>
            <w:tcW w:w="548" w:type="pct"/>
            <w:textDirection w:val="btLr"/>
            <w:hideMark/>
          </w:tcPr>
          <w:p w14:paraId="5A493B26"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t>2018 (Feb)</w:t>
            </w:r>
          </w:p>
        </w:tc>
        <w:tc>
          <w:tcPr>
            <w:tcW w:w="1573" w:type="pct"/>
            <w:hideMark/>
          </w:tcPr>
          <w:p w14:paraId="466F0F19"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8 Brandon Hall Group Awards (HCM Excellence 2017)</w:t>
            </w:r>
          </w:p>
        </w:tc>
        <w:tc>
          <w:tcPr>
            <w:tcW w:w="2879" w:type="pct"/>
            <w:hideMark/>
          </w:tcPr>
          <w:p w14:paraId="2DA31A4F" w14:textId="7F8332ED" w:rsidR="00184263" w:rsidRPr="00E10CE8" w:rsidRDefault="00184263" w:rsidP="00AE6486">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4 HR categories; 240,000+ trained in digital skills.</w:t>
            </w:r>
          </w:p>
        </w:tc>
      </w:tr>
      <w:tr w:rsidR="00184263" w:rsidRPr="00E10CE8" w14:paraId="2D297C9A" w14:textId="77777777" w:rsidTr="00AE6486">
        <w:trPr>
          <w:cantSplit/>
          <w:trHeight w:val="1134"/>
        </w:trPr>
        <w:tc>
          <w:tcPr>
            <w:tcW w:w="548" w:type="pct"/>
            <w:textDirection w:val="btLr"/>
            <w:hideMark/>
          </w:tcPr>
          <w:p w14:paraId="4089902E"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t>2018 (Oct)</w:t>
            </w:r>
          </w:p>
        </w:tc>
        <w:tc>
          <w:tcPr>
            <w:tcW w:w="1573" w:type="pct"/>
            <w:hideMark/>
          </w:tcPr>
          <w:p w14:paraId="786CFE23"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11 Stevie Awards for Great Employers 2018</w:t>
            </w:r>
          </w:p>
        </w:tc>
        <w:tc>
          <w:tcPr>
            <w:tcW w:w="2879" w:type="pct"/>
            <w:hideMark/>
          </w:tcPr>
          <w:p w14:paraId="085E8538" w14:textId="77777777" w:rsidR="00184263" w:rsidRPr="00E10CE8" w:rsidRDefault="00184263" w:rsidP="00AE6486">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5 Gold, 2 Silver, 4 Bronze across India, US and Canada.</w:t>
            </w:r>
          </w:p>
        </w:tc>
      </w:tr>
      <w:tr w:rsidR="00184263" w:rsidRPr="00E10CE8" w14:paraId="316D798F" w14:textId="77777777" w:rsidTr="00AE6486">
        <w:trPr>
          <w:cantSplit/>
          <w:trHeight w:val="1134"/>
        </w:trPr>
        <w:tc>
          <w:tcPr>
            <w:tcW w:w="548" w:type="pct"/>
            <w:textDirection w:val="btLr"/>
            <w:hideMark/>
          </w:tcPr>
          <w:p w14:paraId="2B9DEFD2"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t>2019 (Feb)</w:t>
            </w:r>
          </w:p>
        </w:tc>
        <w:tc>
          <w:tcPr>
            <w:tcW w:w="1573" w:type="pct"/>
            <w:hideMark/>
          </w:tcPr>
          <w:p w14:paraId="650616E4"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#1 Top Employer, North America</w:t>
            </w:r>
          </w:p>
        </w:tc>
        <w:tc>
          <w:tcPr>
            <w:tcW w:w="2879" w:type="pct"/>
            <w:hideMark/>
          </w:tcPr>
          <w:p w14:paraId="35A90D3C" w14:textId="77777777" w:rsidR="00184263" w:rsidRPr="00E10CE8" w:rsidRDefault="00184263" w:rsidP="00AE6486">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5th consecutive year; talent strategy and engagement.</w:t>
            </w:r>
          </w:p>
        </w:tc>
      </w:tr>
      <w:tr w:rsidR="00184263" w:rsidRPr="00E10CE8" w14:paraId="4455DB1F" w14:textId="77777777" w:rsidTr="00AE6486">
        <w:trPr>
          <w:cantSplit/>
          <w:trHeight w:val="1134"/>
        </w:trPr>
        <w:tc>
          <w:tcPr>
            <w:tcW w:w="548" w:type="pct"/>
            <w:textDirection w:val="btLr"/>
            <w:hideMark/>
          </w:tcPr>
          <w:p w14:paraId="4FDD36B8"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t>2019 (Nov)</w:t>
            </w:r>
          </w:p>
        </w:tc>
        <w:tc>
          <w:tcPr>
            <w:tcW w:w="1573" w:type="pct"/>
            <w:hideMark/>
          </w:tcPr>
          <w:p w14:paraId="74890D87"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3 Stevie Awards for Great Employers 2019</w:t>
            </w:r>
          </w:p>
        </w:tc>
        <w:tc>
          <w:tcPr>
            <w:tcW w:w="2879" w:type="pct"/>
            <w:hideMark/>
          </w:tcPr>
          <w:p w14:paraId="48D8E855" w14:textId="77777777" w:rsidR="00184263" w:rsidRPr="00E10CE8" w:rsidRDefault="00184263" w:rsidP="00AE6486">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Gold (CSR), Silver (L&amp;D), Bronze (Workforce Dev., Canada).</w:t>
            </w:r>
          </w:p>
        </w:tc>
      </w:tr>
      <w:tr w:rsidR="00184263" w:rsidRPr="00E10CE8" w14:paraId="2BE2C935" w14:textId="77777777" w:rsidTr="00AE6486">
        <w:trPr>
          <w:cantSplit/>
          <w:trHeight w:val="1134"/>
        </w:trPr>
        <w:tc>
          <w:tcPr>
            <w:tcW w:w="548" w:type="pct"/>
            <w:textDirection w:val="btLr"/>
            <w:hideMark/>
          </w:tcPr>
          <w:p w14:paraId="2CC410BA"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lastRenderedPageBreak/>
              <w:t>2020 (Sep)</w:t>
            </w:r>
          </w:p>
        </w:tc>
        <w:tc>
          <w:tcPr>
            <w:tcW w:w="1573" w:type="pct"/>
            <w:hideMark/>
          </w:tcPr>
          <w:p w14:paraId="78C26896"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3 Brandon Hall Group Awards (Talent &amp; Learning)</w:t>
            </w:r>
          </w:p>
        </w:tc>
        <w:tc>
          <w:tcPr>
            <w:tcW w:w="2879" w:type="pct"/>
            <w:hideMark/>
          </w:tcPr>
          <w:p w14:paraId="55334B76" w14:textId="77777777" w:rsidR="00184263" w:rsidRPr="00E10CE8" w:rsidRDefault="00184263" w:rsidP="00AE6486">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2 Gold, 1 Silver; 87.9% retention (FY20).</w:t>
            </w:r>
          </w:p>
        </w:tc>
      </w:tr>
      <w:tr w:rsidR="00184263" w:rsidRPr="00E10CE8" w14:paraId="0083FFDA" w14:textId="77777777" w:rsidTr="00AE6486">
        <w:trPr>
          <w:cantSplit/>
          <w:trHeight w:val="1134"/>
        </w:trPr>
        <w:tc>
          <w:tcPr>
            <w:tcW w:w="548" w:type="pct"/>
            <w:textDirection w:val="btLr"/>
            <w:hideMark/>
          </w:tcPr>
          <w:p w14:paraId="364DB9D7"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t>2021 (Feb)</w:t>
            </w:r>
          </w:p>
        </w:tc>
        <w:tc>
          <w:tcPr>
            <w:tcW w:w="1573" w:type="pct"/>
            <w:hideMark/>
          </w:tcPr>
          <w:p w14:paraId="5EDF40CC"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Global Top Employer (6th consecutive year)</w:t>
            </w:r>
          </w:p>
        </w:tc>
        <w:tc>
          <w:tcPr>
            <w:tcW w:w="2879" w:type="pct"/>
            <w:hideMark/>
          </w:tcPr>
          <w:p w14:paraId="35C5CE31" w14:textId="77777777" w:rsidR="00184263" w:rsidRPr="00E10CE8" w:rsidRDefault="00184263" w:rsidP="00AE6486">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Only 16 worldwide; Europe, UK, Americas, APAC, MEA, LATAM.</w:t>
            </w:r>
          </w:p>
        </w:tc>
      </w:tr>
      <w:tr w:rsidR="00184263" w:rsidRPr="00E10CE8" w14:paraId="2211D56E" w14:textId="77777777" w:rsidTr="00AE6486">
        <w:trPr>
          <w:cantSplit/>
          <w:trHeight w:val="1134"/>
        </w:trPr>
        <w:tc>
          <w:tcPr>
            <w:tcW w:w="548" w:type="pct"/>
            <w:textDirection w:val="btLr"/>
            <w:hideMark/>
          </w:tcPr>
          <w:p w14:paraId="62FAFDB3"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t>2021 (Feb)</w:t>
            </w:r>
          </w:p>
        </w:tc>
        <w:tc>
          <w:tcPr>
            <w:tcW w:w="1573" w:type="pct"/>
            <w:hideMark/>
          </w:tcPr>
          <w:p w14:paraId="51E39C03"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Top Employer, Asia Pacific</w:t>
            </w:r>
          </w:p>
        </w:tc>
        <w:tc>
          <w:tcPr>
            <w:tcW w:w="2879" w:type="pct"/>
            <w:hideMark/>
          </w:tcPr>
          <w:p w14:paraId="23E4F82E" w14:textId="77777777" w:rsidR="00184263" w:rsidRPr="00E10CE8" w:rsidRDefault="00184263" w:rsidP="00AE6486">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#1 in Australia, Hong Kong SAR, Malaysia, Philippines, Singapore.</w:t>
            </w:r>
          </w:p>
        </w:tc>
      </w:tr>
      <w:tr w:rsidR="00184263" w:rsidRPr="00E10CE8" w14:paraId="0AEA9448" w14:textId="77777777" w:rsidTr="00AE6486">
        <w:trPr>
          <w:cantSplit/>
          <w:trHeight w:val="1134"/>
        </w:trPr>
        <w:tc>
          <w:tcPr>
            <w:tcW w:w="548" w:type="pct"/>
            <w:textDirection w:val="btLr"/>
            <w:hideMark/>
          </w:tcPr>
          <w:p w14:paraId="213592D6"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t>2021 (Nov)</w:t>
            </w:r>
          </w:p>
        </w:tc>
        <w:tc>
          <w:tcPr>
            <w:tcW w:w="1573" w:type="pct"/>
            <w:hideMark/>
          </w:tcPr>
          <w:p w14:paraId="1F4EE639"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HR Network Scotland – Best Employer of the Year</w:t>
            </w:r>
          </w:p>
        </w:tc>
        <w:tc>
          <w:tcPr>
            <w:tcW w:w="2879" w:type="pct"/>
            <w:hideMark/>
          </w:tcPr>
          <w:p w14:paraId="30E2E150" w14:textId="77777777" w:rsidR="00184263" w:rsidRPr="00E10CE8" w:rsidRDefault="00184263" w:rsidP="00AE6486">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Recognised for engagement and remote-working framework in COVID-19.</w:t>
            </w:r>
          </w:p>
        </w:tc>
      </w:tr>
      <w:tr w:rsidR="00184263" w:rsidRPr="00E10CE8" w14:paraId="24DD3422" w14:textId="77777777" w:rsidTr="00AE6486">
        <w:trPr>
          <w:cantSplit/>
          <w:trHeight w:val="1134"/>
        </w:trPr>
        <w:tc>
          <w:tcPr>
            <w:tcW w:w="548" w:type="pct"/>
            <w:textDirection w:val="btLr"/>
            <w:hideMark/>
          </w:tcPr>
          <w:p w14:paraId="644735F1"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t>2022 (Jan)</w:t>
            </w:r>
          </w:p>
        </w:tc>
        <w:tc>
          <w:tcPr>
            <w:tcW w:w="1573" w:type="pct"/>
            <w:hideMark/>
          </w:tcPr>
          <w:p w14:paraId="1AED49B3"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Global Top Employer (7th consecutive year)</w:t>
            </w:r>
          </w:p>
        </w:tc>
        <w:tc>
          <w:tcPr>
            <w:tcW w:w="2879" w:type="pct"/>
            <w:hideMark/>
          </w:tcPr>
          <w:p w14:paraId="1C312821" w14:textId="77777777" w:rsidR="00184263" w:rsidRPr="00E10CE8" w:rsidRDefault="00184263" w:rsidP="00AE6486">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Only 11 worldwide; #1 in US, Europe and Asia Pacific.</w:t>
            </w:r>
          </w:p>
        </w:tc>
      </w:tr>
      <w:tr w:rsidR="00184263" w:rsidRPr="00E10CE8" w14:paraId="167C2DB2" w14:textId="77777777" w:rsidTr="00AE6486">
        <w:trPr>
          <w:cantSplit/>
          <w:trHeight w:val="1134"/>
        </w:trPr>
        <w:tc>
          <w:tcPr>
            <w:tcW w:w="548" w:type="pct"/>
            <w:textDirection w:val="btLr"/>
            <w:hideMark/>
          </w:tcPr>
          <w:p w14:paraId="5525D464"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t>2023 (Jan)</w:t>
            </w:r>
          </w:p>
        </w:tc>
        <w:tc>
          <w:tcPr>
            <w:tcW w:w="1573" w:type="pct"/>
            <w:hideMark/>
          </w:tcPr>
          <w:p w14:paraId="2751EA94"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Top Employer, Europe</w:t>
            </w:r>
          </w:p>
        </w:tc>
        <w:tc>
          <w:tcPr>
            <w:tcW w:w="2879" w:type="pct"/>
            <w:hideMark/>
          </w:tcPr>
          <w:p w14:paraId="0CA0F8F9" w14:textId="77777777" w:rsidR="00184263" w:rsidRPr="00E10CE8" w:rsidRDefault="00184263" w:rsidP="00AE6486">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11th consecutive year; #1 in Belgium, Denmark, Netherlands.</w:t>
            </w:r>
          </w:p>
        </w:tc>
      </w:tr>
      <w:tr w:rsidR="00184263" w:rsidRPr="00E10CE8" w14:paraId="6B2BA845" w14:textId="77777777" w:rsidTr="00AE6486">
        <w:trPr>
          <w:cantSplit/>
          <w:trHeight w:val="1134"/>
        </w:trPr>
        <w:tc>
          <w:tcPr>
            <w:tcW w:w="548" w:type="pct"/>
            <w:textDirection w:val="btLr"/>
            <w:hideMark/>
          </w:tcPr>
          <w:p w14:paraId="34F1B2D9" w14:textId="77777777" w:rsidR="00184263" w:rsidRPr="00E10CE8" w:rsidRDefault="00184263" w:rsidP="00AE6486">
            <w:pPr>
              <w:spacing w:line="360" w:lineRule="auto"/>
              <w:ind w:left="113" w:right="113"/>
              <w:jc w:val="center"/>
              <w:rPr>
                <w:rFonts w:ascii="Arial" w:hAnsi="Arial" w:cs="Arial"/>
                <w:color w:val="000000" w:themeColor="text1"/>
                <w:sz w:val="36"/>
                <w:szCs w:val="36"/>
              </w:rPr>
            </w:pPr>
            <w:r w:rsidRPr="00E10CE8">
              <w:rPr>
                <w:rFonts w:ascii="Arial" w:hAnsi="Arial" w:cs="Arial"/>
                <w:color w:val="000000" w:themeColor="text1"/>
                <w:sz w:val="36"/>
                <w:szCs w:val="36"/>
              </w:rPr>
              <w:lastRenderedPageBreak/>
              <w:t>2024 (Mar)</w:t>
            </w:r>
          </w:p>
        </w:tc>
        <w:tc>
          <w:tcPr>
            <w:tcW w:w="1573" w:type="pct"/>
            <w:hideMark/>
          </w:tcPr>
          <w:p w14:paraId="3766F69D" w14:textId="77777777" w:rsidR="00184263" w:rsidRPr="00E10CE8" w:rsidRDefault="00184263" w:rsidP="00E10CE8">
            <w:pPr>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Global Top Employer (9th consecutive year)</w:t>
            </w:r>
          </w:p>
        </w:tc>
        <w:tc>
          <w:tcPr>
            <w:tcW w:w="2879" w:type="pct"/>
            <w:hideMark/>
          </w:tcPr>
          <w:p w14:paraId="040FBF54" w14:textId="77777777" w:rsidR="00184263" w:rsidRPr="00E10CE8" w:rsidRDefault="00184263" w:rsidP="00AE6486">
            <w:pPr>
              <w:keepNext/>
              <w:spacing w:line="360" w:lineRule="auto"/>
              <w:rPr>
                <w:rFonts w:ascii="Arial" w:hAnsi="Arial" w:cs="Arial"/>
                <w:color w:val="000000" w:themeColor="text1"/>
                <w:sz w:val="36"/>
                <w:szCs w:val="36"/>
              </w:rPr>
            </w:pPr>
            <w:r w:rsidRPr="00E10CE8">
              <w:rPr>
                <w:rFonts w:ascii="Arial" w:hAnsi="Arial" w:cs="Arial"/>
                <w:color w:val="000000" w:themeColor="text1"/>
                <w:sz w:val="36"/>
                <w:szCs w:val="36"/>
              </w:rPr>
              <w:t>Only 16 worldwide; 32 countries; #2 in Health &amp; Wellness.</w:t>
            </w:r>
          </w:p>
        </w:tc>
      </w:tr>
    </w:tbl>
    <w:p w14:paraId="04E34619" w14:textId="34569667" w:rsidR="00A82B4D" w:rsidRPr="00E10CE8" w:rsidRDefault="00721E07" w:rsidP="00E10CE8">
      <w:pPr>
        <w:pStyle w:val="Caption"/>
        <w:spacing w:line="360" w:lineRule="auto"/>
        <w:rPr>
          <w:rFonts w:cs="Arial"/>
          <w:sz w:val="36"/>
          <w:szCs w:val="36"/>
        </w:rPr>
      </w:pPr>
      <w:r w:rsidRPr="00E10CE8">
        <w:rPr>
          <w:rFonts w:cs="Arial"/>
          <w:sz w:val="36"/>
          <w:szCs w:val="36"/>
        </w:rPr>
        <w:t xml:space="preserve">Table </w:t>
      </w:r>
      <w:r w:rsidR="00BE2622">
        <w:rPr>
          <w:rFonts w:cs="Arial"/>
          <w:sz w:val="36"/>
          <w:szCs w:val="36"/>
        </w:rPr>
        <w:fldChar w:fldCharType="begin"/>
      </w:r>
      <w:r w:rsidR="00BE2622">
        <w:rPr>
          <w:rFonts w:cs="Arial"/>
          <w:sz w:val="36"/>
          <w:szCs w:val="36"/>
        </w:rPr>
        <w:instrText xml:space="preserve"> SEQ Table \* ARABIC </w:instrText>
      </w:r>
      <w:r w:rsidR="00BE2622">
        <w:rPr>
          <w:rFonts w:cs="Arial"/>
          <w:sz w:val="36"/>
          <w:szCs w:val="36"/>
        </w:rPr>
        <w:fldChar w:fldCharType="separate"/>
      </w:r>
      <w:r w:rsidR="00BE2622">
        <w:rPr>
          <w:rFonts w:cs="Arial"/>
          <w:noProof/>
          <w:sz w:val="36"/>
          <w:szCs w:val="36"/>
        </w:rPr>
        <w:t>1</w:t>
      </w:r>
      <w:r w:rsidR="00BE2622">
        <w:rPr>
          <w:rFonts w:cs="Arial"/>
          <w:sz w:val="36"/>
          <w:szCs w:val="36"/>
        </w:rPr>
        <w:fldChar w:fldCharType="end"/>
      </w:r>
      <w:r w:rsidRPr="00E10CE8">
        <w:rPr>
          <w:rFonts w:cs="Arial"/>
          <w:sz w:val="36"/>
          <w:szCs w:val="36"/>
        </w:rPr>
        <w:t xml:space="preserve"> TCS HR Awards (2018-2024)</w:t>
      </w:r>
      <w:r w:rsidR="00BE5727" w:rsidRPr="00E10CE8">
        <w:rPr>
          <w:rFonts w:cs="Arial"/>
          <w:sz w:val="36"/>
          <w:szCs w:val="36"/>
        </w:rPr>
        <w:t>,</w:t>
      </w:r>
      <w:r w:rsidRPr="00E10CE8">
        <w:rPr>
          <w:rFonts w:cs="Arial"/>
          <w:sz w:val="36"/>
          <w:szCs w:val="36"/>
        </w:rPr>
        <w:t xml:space="preserve"> (T</w:t>
      </w:r>
      <w:r w:rsidR="005D1491" w:rsidRPr="00E10CE8">
        <w:rPr>
          <w:rFonts w:cs="Arial"/>
          <w:sz w:val="36"/>
          <w:szCs w:val="36"/>
        </w:rPr>
        <w:t>CS</w:t>
      </w:r>
      <w:r w:rsidRPr="00E10CE8">
        <w:rPr>
          <w:rFonts w:cs="Arial"/>
          <w:sz w:val="36"/>
          <w:szCs w:val="36"/>
        </w:rPr>
        <w:t>, n.d.</w:t>
      </w:r>
      <w:r w:rsidR="00F026F8" w:rsidRPr="00E10CE8">
        <w:rPr>
          <w:rFonts w:cs="Arial"/>
          <w:sz w:val="36"/>
          <w:szCs w:val="36"/>
        </w:rPr>
        <w:t>-b</w:t>
      </w:r>
      <w:r w:rsidRPr="00E10CE8">
        <w:rPr>
          <w:rFonts w:cs="Arial"/>
          <w:sz w:val="36"/>
          <w:szCs w:val="36"/>
        </w:rPr>
        <w:t xml:space="preserve">) </w:t>
      </w:r>
    </w:p>
    <w:p w14:paraId="32FB1CAB" w14:textId="2661DF72" w:rsidR="005A1EC5" w:rsidRPr="001F67B8" w:rsidRDefault="0048134D" w:rsidP="001F67B8">
      <w:pPr>
        <w:pStyle w:val="Heading1"/>
      </w:pPr>
      <w:bookmarkStart w:id="1" w:name="_Toc236867886"/>
      <w:r w:rsidRPr="001F67B8">
        <w:t>Recruitment and Selection</w:t>
      </w:r>
      <w:bookmarkEnd w:id="1"/>
    </w:p>
    <w:p w14:paraId="3FAFC241" w14:textId="0C123A8F" w:rsidR="005A1EC5" w:rsidRPr="00E10CE8" w:rsidRDefault="005A1EC5" w:rsidP="005A1EC5">
      <w:pPr>
        <w:spacing w:before="100" w:beforeAutospacing="1" w:after="100" w:afterAutospacing="1" w:line="360" w:lineRule="auto"/>
        <w:jc w:val="both"/>
        <w:rPr>
          <w:rFonts w:ascii="Arial" w:hAnsi="Arial" w:cs="Arial"/>
          <w:sz w:val="36"/>
          <w:szCs w:val="36"/>
        </w:rPr>
      </w:pPr>
      <w:r w:rsidRPr="00E10CE8">
        <w:rPr>
          <w:rFonts w:ascii="Arial" w:hAnsi="Arial" w:cs="Arial"/>
          <w:sz w:val="36"/>
          <w:szCs w:val="36"/>
        </w:rPr>
        <w:t xml:space="preserve">TCS's international staffing shows clear evolution through Heenan and Perlmutter's (1979) EPRG framework. As Table 1 shows, the company has moved from an ethnocentric model towards a hybrid polycentric–geocentric orientation. Early on, ethnocentric staffing let TCS transfer knowledge, maintain quality and retain headquarters control through Indian expatriates. However, tighter immigration policies, rising labour costs and client demand for local expertise constrained this, making localisation a strategic necessity rather than an HR initiative. While EPRG explains the transition, TCS's Global Network Delivery Model shows contemporary multinationals increasingly combine multiple orientations at once, so the model alone only partially captures </w:t>
      </w:r>
      <w:r w:rsidRPr="00E10CE8">
        <w:rPr>
          <w:rFonts w:ascii="Arial" w:hAnsi="Arial" w:cs="Arial"/>
          <w:sz w:val="36"/>
          <w:szCs w:val="36"/>
        </w:rPr>
        <w:lastRenderedPageBreak/>
        <w:t>modern global talent management (Scullion &amp; Collings, 2011).</w:t>
      </w:r>
    </w:p>
    <w:p w14:paraId="54BC186B" w14:textId="77777777" w:rsidR="005A1EC5" w:rsidRPr="00E10CE8" w:rsidRDefault="005A1EC5" w:rsidP="005A1EC5">
      <w:pPr>
        <w:spacing w:before="100" w:beforeAutospacing="1" w:after="100" w:afterAutospacing="1" w:line="360" w:lineRule="auto"/>
        <w:jc w:val="both"/>
        <w:rPr>
          <w:rFonts w:ascii="Arial" w:hAnsi="Arial" w:cs="Arial"/>
          <w:sz w:val="36"/>
          <w:szCs w:val="36"/>
        </w:rPr>
      </w:pPr>
      <w:r w:rsidRPr="00E10CE8">
        <w:rPr>
          <w:rFonts w:ascii="Arial" w:hAnsi="Arial" w:cs="Arial"/>
          <w:sz w:val="36"/>
          <w:szCs w:val="36"/>
        </w:rPr>
        <w:t>Rather than isolated activities, TCS's recruitment practices collectively support its global strategy. Employer branding, including sporting sponsorships and external certifications (Table 1), strengthens attractiveness, consistent with theory that positive organisational signals shape applicants' perceptions of quality (Backhaus &amp; Tikoo, 2004). Digital platforms such as TCS iON NQT and CodeVita identify technical talent at scale, while AI-enabled analytics support evidence-based workforce planning (Marler &amp; Boudreau, 2017). Structured interviews improve consistency and selection reliability (Campion et al., 1997), while referrals reduce cost and improve person–organisation fit (</w:t>
      </w:r>
      <w:proofErr w:type="spellStart"/>
      <w:r w:rsidRPr="00E10CE8">
        <w:rPr>
          <w:rFonts w:ascii="Arial" w:hAnsi="Arial" w:cs="Arial"/>
          <w:sz w:val="36"/>
          <w:szCs w:val="36"/>
        </w:rPr>
        <w:t>Breaugh</w:t>
      </w:r>
      <w:proofErr w:type="spellEnd"/>
      <w:r w:rsidRPr="00E10CE8">
        <w:rPr>
          <w:rFonts w:ascii="Arial" w:hAnsi="Arial" w:cs="Arial"/>
          <w:sz w:val="36"/>
          <w:szCs w:val="36"/>
        </w:rPr>
        <w:t>, 2013).</w:t>
      </w:r>
    </w:p>
    <w:p w14:paraId="4F01B4C9" w14:textId="77777777" w:rsidR="005A1EC5" w:rsidRPr="00E10CE8" w:rsidRDefault="005A1EC5" w:rsidP="005A1EC5">
      <w:pPr>
        <w:spacing w:before="100" w:beforeAutospacing="1" w:after="100" w:afterAutospacing="1" w:line="360" w:lineRule="auto"/>
        <w:jc w:val="both"/>
        <w:rPr>
          <w:rFonts w:ascii="Arial" w:hAnsi="Arial" w:cs="Arial"/>
          <w:sz w:val="36"/>
          <w:szCs w:val="36"/>
        </w:rPr>
      </w:pPr>
      <w:r w:rsidRPr="00E10CE8">
        <w:rPr>
          <w:rFonts w:ascii="Arial" w:hAnsi="Arial" w:cs="Arial"/>
          <w:sz w:val="36"/>
          <w:szCs w:val="36"/>
        </w:rPr>
        <w:t xml:space="preserve">Nevertheless, rigorous evaluation must confront the risks within these strengths. Reliance on referrals, though cost-efficient, risks reproducing existing workforce profiles through homophily, narrowing the diversity global clients demand. More consequentially, scaling AI-enabled </w:t>
      </w:r>
      <w:r w:rsidRPr="00E10CE8">
        <w:rPr>
          <w:rFonts w:ascii="Arial" w:hAnsi="Arial" w:cs="Arial"/>
          <w:sz w:val="36"/>
          <w:szCs w:val="36"/>
        </w:rPr>
        <w:lastRenderedPageBreak/>
        <w:t>selection; NQT scoring, automated assessment and analytics; delivers efficiency at the potential expense of equity: without transparent governance and bias auditing, algorithmic screening can systematise the very exclusion it appears to remove, exposing the firm to reputational and regulatory risk. These tensions define the frontier of TCS's advantage: not a single staffing orientation but a flexible, well-governed hybrid strategy converting institutional, technological and market pressures into strategic strength.</w:t>
      </w:r>
    </w:p>
    <w:p w14:paraId="273FAF16" w14:textId="0F815CC9" w:rsidR="005A1EC5" w:rsidRPr="005A1EC5" w:rsidRDefault="005A1EC5" w:rsidP="005A1EC5">
      <w:pPr>
        <w:rPr>
          <w:lang w:eastAsia="en-US"/>
        </w:rPr>
      </w:pPr>
    </w:p>
    <w:p w14:paraId="0C78F5A9" w14:textId="43019B24" w:rsidR="00E10CE8" w:rsidRPr="00E10CE8" w:rsidRDefault="00E10CE8" w:rsidP="00E10CE8"/>
    <w:tbl>
      <w:tblPr>
        <w:tblStyle w:val="TableGrid"/>
        <w:tblW w:w="0" w:type="auto"/>
        <w:tblLook w:val="04A0" w:firstRow="1" w:lastRow="0" w:firstColumn="1" w:lastColumn="0" w:noHBand="0" w:noVBand="1"/>
      </w:tblPr>
      <w:tblGrid>
        <w:gridCol w:w="2691"/>
        <w:gridCol w:w="3810"/>
        <w:gridCol w:w="2509"/>
      </w:tblGrid>
      <w:tr w:rsidR="00E10CE8" w:rsidRPr="00E10CE8" w14:paraId="69138ECE" w14:textId="77777777" w:rsidTr="0067544E">
        <w:tc>
          <w:tcPr>
            <w:tcW w:w="0" w:type="auto"/>
            <w:hideMark/>
          </w:tcPr>
          <w:p w14:paraId="1775094C" w14:textId="77777777" w:rsidR="00E10CE8" w:rsidRPr="00E10CE8" w:rsidRDefault="00E10CE8" w:rsidP="00E10CE8">
            <w:pPr>
              <w:spacing w:line="360" w:lineRule="auto"/>
              <w:rPr>
                <w:rFonts w:ascii="Arial" w:hAnsi="Arial" w:cs="Arial"/>
                <w:b/>
                <w:bCs/>
                <w:sz w:val="36"/>
                <w:szCs w:val="36"/>
              </w:rPr>
            </w:pPr>
            <w:r w:rsidRPr="00E10CE8">
              <w:rPr>
                <w:rFonts w:ascii="Arial" w:hAnsi="Arial" w:cs="Arial"/>
                <w:b/>
                <w:bCs/>
                <w:sz w:val="36"/>
                <w:szCs w:val="36"/>
              </w:rPr>
              <w:t>HRM Strategy</w:t>
            </w:r>
          </w:p>
        </w:tc>
        <w:tc>
          <w:tcPr>
            <w:tcW w:w="0" w:type="auto"/>
            <w:hideMark/>
          </w:tcPr>
          <w:p w14:paraId="7FF26539" w14:textId="77777777" w:rsidR="00E10CE8" w:rsidRPr="00E10CE8" w:rsidRDefault="00E10CE8" w:rsidP="00E10CE8">
            <w:pPr>
              <w:spacing w:line="360" w:lineRule="auto"/>
              <w:rPr>
                <w:rFonts w:ascii="Arial" w:hAnsi="Arial" w:cs="Arial"/>
                <w:b/>
                <w:bCs/>
                <w:sz w:val="36"/>
                <w:szCs w:val="36"/>
              </w:rPr>
            </w:pPr>
            <w:r w:rsidRPr="00E10CE8">
              <w:rPr>
                <w:rFonts w:ascii="Arial" w:hAnsi="Arial" w:cs="Arial"/>
                <w:b/>
                <w:bCs/>
                <w:sz w:val="36"/>
                <w:szCs w:val="36"/>
              </w:rPr>
              <w:t>Evidence from TCS</w:t>
            </w:r>
          </w:p>
        </w:tc>
        <w:tc>
          <w:tcPr>
            <w:tcW w:w="0" w:type="auto"/>
            <w:hideMark/>
          </w:tcPr>
          <w:p w14:paraId="112239E4" w14:textId="77777777" w:rsidR="00E10CE8" w:rsidRPr="00E10CE8" w:rsidRDefault="00E10CE8" w:rsidP="00E10CE8">
            <w:pPr>
              <w:spacing w:line="360" w:lineRule="auto"/>
              <w:rPr>
                <w:rFonts w:ascii="Arial" w:hAnsi="Arial" w:cs="Arial"/>
                <w:b/>
                <w:bCs/>
                <w:sz w:val="36"/>
                <w:szCs w:val="36"/>
              </w:rPr>
            </w:pPr>
            <w:r w:rsidRPr="00E10CE8">
              <w:rPr>
                <w:rFonts w:ascii="Arial" w:hAnsi="Arial" w:cs="Arial"/>
                <w:b/>
                <w:bCs/>
                <w:sz w:val="36"/>
                <w:szCs w:val="36"/>
              </w:rPr>
              <w:t>Key Sources</w:t>
            </w:r>
          </w:p>
        </w:tc>
      </w:tr>
      <w:tr w:rsidR="00E10CE8" w:rsidRPr="00E10CE8" w14:paraId="1CA1793E" w14:textId="77777777" w:rsidTr="0067544E">
        <w:tc>
          <w:tcPr>
            <w:tcW w:w="0" w:type="auto"/>
            <w:hideMark/>
          </w:tcPr>
          <w:p w14:paraId="2E5A70C5" w14:textId="77777777" w:rsidR="00E10CE8" w:rsidRPr="00E10CE8" w:rsidRDefault="00E10CE8" w:rsidP="00E10CE8">
            <w:pPr>
              <w:spacing w:line="360" w:lineRule="auto"/>
              <w:rPr>
                <w:rFonts w:ascii="Arial" w:hAnsi="Arial" w:cs="Arial"/>
                <w:sz w:val="36"/>
                <w:szCs w:val="36"/>
              </w:rPr>
            </w:pPr>
            <w:r w:rsidRPr="00E10CE8">
              <w:rPr>
                <w:rFonts w:ascii="Arial" w:hAnsi="Arial" w:cs="Arial"/>
                <w:b/>
                <w:bCs/>
                <w:sz w:val="36"/>
                <w:szCs w:val="36"/>
              </w:rPr>
              <w:t>International staffing orientation</w:t>
            </w:r>
          </w:p>
        </w:tc>
        <w:tc>
          <w:tcPr>
            <w:tcW w:w="0" w:type="auto"/>
            <w:hideMark/>
          </w:tcPr>
          <w:p w14:paraId="5EA4F9AD"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t>Shift from reliance on Indian expatriates towards localisation in the US and Europe, with regional delivery hubs under the GNDM.</w:t>
            </w:r>
          </w:p>
        </w:tc>
        <w:tc>
          <w:tcPr>
            <w:tcW w:w="0" w:type="auto"/>
            <w:hideMark/>
          </w:tcPr>
          <w:p w14:paraId="7A0B3FF4"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t>TCS Annual Reports; TCS Press Releases; US H-1B data</w:t>
            </w:r>
          </w:p>
        </w:tc>
      </w:tr>
      <w:tr w:rsidR="00E10CE8" w:rsidRPr="00E10CE8" w14:paraId="7D4E6C8D" w14:textId="77777777" w:rsidTr="0067544E">
        <w:tc>
          <w:tcPr>
            <w:tcW w:w="0" w:type="auto"/>
            <w:hideMark/>
          </w:tcPr>
          <w:p w14:paraId="79B4EDE7" w14:textId="77777777" w:rsidR="00E10CE8" w:rsidRPr="00E10CE8" w:rsidRDefault="00E10CE8" w:rsidP="00E10CE8">
            <w:pPr>
              <w:spacing w:line="360" w:lineRule="auto"/>
              <w:rPr>
                <w:rFonts w:ascii="Arial" w:hAnsi="Arial" w:cs="Arial"/>
                <w:sz w:val="36"/>
                <w:szCs w:val="36"/>
              </w:rPr>
            </w:pPr>
            <w:r w:rsidRPr="00E10CE8">
              <w:rPr>
                <w:rFonts w:ascii="Arial" w:hAnsi="Arial" w:cs="Arial"/>
                <w:b/>
                <w:bCs/>
                <w:sz w:val="36"/>
                <w:szCs w:val="36"/>
              </w:rPr>
              <w:t>Employer branding</w:t>
            </w:r>
          </w:p>
        </w:tc>
        <w:tc>
          <w:tcPr>
            <w:tcW w:w="0" w:type="auto"/>
            <w:hideMark/>
          </w:tcPr>
          <w:p w14:paraId="2D17A178"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t xml:space="preserve">Global sponsorships (TCS London and New York City </w:t>
            </w:r>
            <w:r w:rsidRPr="00E10CE8">
              <w:rPr>
                <w:rFonts w:ascii="Arial" w:hAnsi="Arial" w:cs="Arial"/>
                <w:sz w:val="36"/>
                <w:szCs w:val="36"/>
              </w:rPr>
              <w:lastRenderedPageBreak/>
              <w:t>Marathons) and repeated Top Employer certification.</w:t>
            </w:r>
          </w:p>
        </w:tc>
        <w:tc>
          <w:tcPr>
            <w:tcW w:w="0" w:type="auto"/>
            <w:hideMark/>
          </w:tcPr>
          <w:p w14:paraId="7E9A3775"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lastRenderedPageBreak/>
              <w:t>TCS; Top Employers Institute</w:t>
            </w:r>
          </w:p>
        </w:tc>
      </w:tr>
      <w:tr w:rsidR="00E10CE8" w:rsidRPr="00E10CE8" w14:paraId="4246BDBE" w14:textId="77777777" w:rsidTr="0067544E">
        <w:tc>
          <w:tcPr>
            <w:tcW w:w="0" w:type="auto"/>
            <w:hideMark/>
          </w:tcPr>
          <w:p w14:paraId="44A7508A" w14:textId="77777777" w:rsidR="00E10CE8" w:rsidRPr="00E10CE8" w:rsidRDefault="00E10CE8" w:rsidP="00E10CE8">
            <w:pPr>
              <w:spacing w:line="360" w:lineRule="auto"/>
              <w:rPr>
                <w:rFonts w:ascii="Arial" w:hAnsi="Arial" w:cs="Arial"/>
                <w:sz w:val="36"/>
                <w:szCs w:val="36"/>
              </w:rPr>
            </w:pPr>
            <w:r w:rsidRPr="00E10CE8">
              <w:rPr>
                <w:rFonts w:ascii="Arial" w:hAnsi="Arial" w:cs="Arial"/>
                <w:b/>
                <w:bCs/>
                <w:sz w:val="36"/>
                <w:szCs w:val="36"/>
              </w:rPr>
              <w:t>Employee referrals</w:t>
            </w:r>
          </w:p>
        </w:tc>
        <w:tc>
          <w:tcPr>
            <w:tcW w:w="0" w:type="auto"/>
            <w:hideMark/>
          </w:tcPr>
          <w:p w14:paraId="61C98696"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t>"Bring Your Buddy" referral programme to support recruitment in high-demand technology roles.</w:t>
            </w:r>
          </w:p>
        </w:tc>
        <w:tc>
          <w:tcPr>
            <w:tcW w:w="0" w:type="auto"/>
            <w:hideMark/>
          </w:tcPr>
          <w:p w14:paraId="0B3D1B23"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t>TCS Careers; HR industry reports</w:t>
            </w:r>
          </w:p>
        </w:tc>
      </w:tr>
      <w:tr w:rsidR="00E10CE8" w:rsidRPr="00E10CE8" w14:paraId="598C0BBA" w14:textId="77777777" w:rsidTr="0067544E">
        <w:tc>
          <w:tcPr>
            <w:tcW w:w="0" w:type="auto"/>
            <w:hideMark/>
          </w:tcPr>
          <w:p w14:paraId="2EEA0C6C" w14:textId="77777777" w:rsidR="00E10CE8" w:rsidRPr="00E10CE8" w:rsidRDefault="00E10CE8" w:rsidP="00E10CE8">
            <w:pPr>
              <w:spacing w:line="360" w:lineRule="auto"/>
              <w:rPr>
                <w:rFonts w:ascii="Arial" w:hAnsi="Arial" w:cs="Arial"/>
                <w:sz w:val="36"/>
                <w:szCs w:val="36"/>
              </w:rPr>
            </w:pPr>
            <w:r w:rsidRPr="00E10CE8">
              <w:rPr>
                <w:rFonts w:ascii="Arial" w:hAnsi="Arial" w:cs="Arial"/>
                <w:b/>
                <w:bCs/>
                <w:sz w:val="36"/>
                <w:szCs w:val="36"/>
              </w:rPr>
              <w:t>Digital recruitment and HR analytics</w:t>
            </w:r>
          </w:p>
        </w:tc>
        <w:tc>
          <w:tcPr>
            <w:tcW w:w="0" w:type="auto"/>
            <w:hideMark/>
          </w:tcPr>
          <w:p w14:paraId="63EB6260"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t>AI-enabled recruitment systems integrated with digital talent management and workforce analytics.</w:t>
            </w:r>
          </w:p>
        </w:tc>
        <w:tc>
          <w:tcPr>
            <w:tcW w:w="0" w:type="auto"/>
            <w:hideMark/>
          </w:tcPr>
          <w:p w14:paraId="5829E03B"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t>TCS Integrated Report</w:t>
            </w:r>
          </w:p>
        </w:tc>
      </w:tr>
      <w:tr w:rsidR="00E10CE8" w:rsidRPr="00E10CE8" w14:paraId="07E6317D" w14:textId="77777777" w:rsidTr="0067544E">
        <w:tc>
          <w:tcPr>
            <w:tcW w:w="0" w:type="auto"/>
            <w:hideMark/>
          </w:tcPr>
          <w:p w14:paraId="6CAAC5AB" w14:textId="77777777" w:rsidR="00E10CE8" w:rsidRPr="00E10CE8" w:rsidRDefault="00E10CE8" w:rsidP="00E10CE8">
            <w:pPr>
              <w:spacing w:line="360" w:lineRule="auto"/>
              <w:rPr>
                <w:rFonts w:ascii="Arial" w:hAnsi="Arial" w:cs="Arial"/>
                <w:sz w:val="36"/>
                <w:szCs w:val="36"/>
              </w:rPr>
            </w:pPr>
            <w:r w:rsidRPr="00E10CE8">
              <w:rPr>
                <w:rFonts w:ascii="Arial" w:hAnsi="Arial" w:cs="Arial"/>
                <w:b/>
                <w:bCs/>
                <w:sz w:val="36"/>
                <w:szCs w:val="36"/>
              </w:rPr>
              <w:t>Innovation in recruitment</w:t>
            </w:r>
          </w:p>
        </w:tc>
        <w:tc>
          <w:tcPr>
            <w:tcW w:w="0" w:type="auto"/>
            <w:hideMark/>
          </w:tcPr>
          <w:p w14:paraId="6E6E2EEC"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t xml:space="preserve">TCS </w:t>
            </w:r>
            <w:proofErr w:type="spellStart"/>
            <w:r w:rsidRPr="00E10CE8">
              <w:rPr>
                <w:rFonts w:ascii="Arial" w:hAnsi="Arial" w:cs="Arial"/>
                <w:sz w:val="36"/>
                <w:szCs w:val="36"/>
              </w:rPr>
              <w:t>iON</w:t>
            </w:r>
            <w:proofErr w:type="spellEnd"/>
            <w:r w:rsidRPr="00E10CE8">
              <w:rPr>
                <w:rFonts w:ascii="Arial" w:hAnsi="Arial" w:cs="Arial"/>
                <w:sz w:val="36"/>
                <w:szCs w:val="36"/>
              </w:rPr>
              <w:t xml:space="preserve"> National Qualifier Test (NQT) and </w:t>
            </w:r>
            <w:proofErr w:type="spellStart"/>
            <w:r w:rsidRPr="00E10CE8">
              <w:rPr>
                <w:rFonts w:ascii="Arial" w:hAnsi="Arial" w:cs="Arial"/>
                <w:sz w:val="36"/>
                <w:szCs w:val="36"/>
              </w:rPr>
              <w:t>CodeVita</w:t>
            </w:r>
            <w:proofErr w:type="spellEnd"/>
            <w:r w:rsidRPr="00E10CE8">
              <w:rPr>
                <w:rFonts w:ascii="Arial" w:hAnsi="Arial" w:cs="Arial"/>
                <w:sz w:val="36"/>
                <w:szCs w:val="36"/>
              </w:rPr>
              <w:t xml:space="preserve"> used to identify and assess technical talent at scale.</w:t>
            </w:r>
          </w:p>
        </w:tc>
        <w:tc>
          <w:tcPr>
            <w:tcW w:w="0" w:type="auto"/>
            <w:hideMark/>
          </w:tcPr>
          <w:p w14:paraId="140B130A"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t xml:space="preserve">TCS </w:t>
            </w:r>
            <w:proofErr w:type="spellStart"/>
            <w:r w:rsidRPr="00E10CE8">
              <w:rPr>
                <w:rFonts w:ascii="Arial" w:hAnsi="Arial" w:cs="Arial"/>
                <w:sz w:val="36"/>
                <w:szCs w:val="36"/>
              </w:rPr>
              <w:t>iON</w:t>
            </w:r>
            <w:proofErr w:type="spellEnd"/>
            <w:r w:rsidRPr="00E10CE8">
              <w:rPr>
                <w:rFonts w:ascii="Arial" w:hAnsi="Arial" w:cs="Arial"/>
                <w:sz w:val="36"/>
                <w:szCs w:val="36"/>
              </w:rPr>
              <w:t>; TCS</w:t>
            </w:r>
          </w:p>
        </w:tc>
      </w:tr>
      <w:tr w:rsidR="00E10CE8" w:rsidRPr="00E10CE8" w14:paraId="2D375EAF" w14:textId="77777777" w:rsidTr="0067544E">
        <w:tc>
          <w:tcPr>
            <w:tcW w:w="0" w:type="auto"/>
            <w:hideMark/>
          </w:tcPr>
          <w:p w14:paraId="25054D7F" w14:textId="77777777" w:rsidR="00E10CE8" w:rsidRPr="00E10CE8" w:rsidRDefault="00E10CE8" w:rsidP="00E10CE8">
            <w:pPr>
              <w:spacing w:line="360" w:lineRule="auto"/>
              <w:rPr>
                <w:rFonts w:ascii="Arial" w:hAnsi="Arial" w:cs="Arial"/>
                <w:sz w:val="36"/>
                <w:szCs w:val="36"/>
              </w:rPr>
            </w:pPr>
            <w:r w:rsidRPr="00E10CE8">
              <w:rPr>
                <w:rFonts w:ascii="Arial" w:hAnsi="Arial" w:cs="Arial"/>
                <w:b/>
                <w:bCs/>
                <w:sz w:val="36"/>
                <w:szCs w:val="36"/>
              </w:rPr>
              <w:t>Selection process</w:t>
            </w:r>
          </w:p>
        </w:tc>
        <w:tc>
          <w:tcPr>
            <w:tcW w:w="0" w:type="auto"/>
            <w:hideMark/>
          </w:tcPr>
          <w:p w14:paraId="577AC6BE" w14:textId="77777777" w:rsidR="00E10CE8" w:rsidRPr="00E10CE8" w:rsidRDefault="00E10CE8" w:rsidP="00E10CE8">
            <w:pPr>
              <w:spacing w:line="360" w:lineRule="auto"/>
              <w:rPr>
                <w:rFonts w:ascii="Arial" w:hAnsi="Arial" w:cs="Arial"/>
                <w:sz w:val="36"/>
                <w:szCs w:val="36"/>
              </w:rPr>
            </w:pPr>
            <w:r w:rsidRPr="00E10CE8">
              <w:rPr>
                <w:rFonts w:ascii="Arial" w:hAnsi="Arial" w:cs="Arial"/>
                <w:sz w:val="36"/>
                <w:szCs w:val="36"/>
              </w:rPr>
              <w:t xml:space="preserve">Structured recruitment process comprising </w:t>
            </w:r>
            <w:r w:rsidRPr="00E10CE8">
              <w:rPr>
                <w:rFonts w:ascii="Arial" w:hAnsi="Arial" w:cs="Arial"/>
                <w:sz w:val="36"/>
                <w:szCs w:val="36"/>
              </w:rPr>
              <w:lastRenderedPageBreak/>
              <w:t>technical, managerial and HR interviews supported by standardised assessment criteria.</w:t>
            </w:r>
          </w:p>
        </w:tc>
        <w:tc>
          <w:tcPr>
            <w:tcW w:w="0" w:type="auto"/>
            <w:hideMark/>
          </w:tcPr>
          <w:p w14:paraId="1C275D6A" w14:textId="77777777" w:rsidR="00E10CE8" w:rsidRPr="00E10CE8" w:rsidRDefault="00E10CE8" w:rsidP="00E10CE8">
            <w:pPr>
              <w:keepNext/>
              <w:spacing w:line="360" w:lineRule="auto"/>
              <w:rPr>
                <w:rFonts w:ascii="Arial" w:hAnsi="Arial" w:cs="Arial"/>
                <w:sz w:val="36"/>
                <w:szCs w:val="36"/>
              </w:rPr>
            </w:pPr>
            <w:r w:rsidRPr="00E10CE8">
              <w:rPr>
                <w:rFonts w:ascii="Arial" w:hAnsi="Arial" w:cs="Arial"/>
                <w:sz w:val="36"/>
                <w:szCs w:val="36"/>
              </w:rPr>
              <w:lastRenderedPageBreak/>
              <w:t>TCS Careers</w:t>
            </w:r>
          </w:p>
        </w:tc>
      </w:tr>
    </w:tbl>
    <w:p w14:paraId="4D0EE8AD" w14:textId="57946C73" w:rsidR="00E10CE8" w:rsidRPr="009F6FD8" w:rsidRDefault="00E10CE8" w:rsidP="009F6FD8">
      <w:pPr>
        <w:pStyle w:val="Caption"/>
        <w:rPr>
          <w:sz w:val="36"/>
          <w:szCs w:val="36"/>
        </w:rPr>
      </w:pPr>
      <w:r w:rsidRPr="009F6FD8">
        <w:rPr>
          <w:sz w:val="36"/>
          <w:szCs w:val="36"/>
        </w:rPr>
        <w:t xml:space="preserve">Table </w:t>
      </w:r>
      <w:r w:rsidR="00BE2622">
        <w:rPr>
          <w:sz w:val="36"/>
          <w:szCs w:val="36"/>
        </w:rPr>
        <w:fldChar w:fldCharType="begin"/>
      </w:r>
      <w:r w:rsidR="00BE2622">
        <w:rPr>
          <w:sz w:val="36"/>
          <w:szCs w:val="36"/>
        </w:rPr>
        <w:instrText xml:space="preserve"> SEQ Table \* ARABIC </w:instrText>
      </w:r>
      <w:r w:rsidR="00BE2622">
        <w:rPr>
          <w:sz w:val="36"/>
          <w:szCs w:val="36"/>
        </w:rPr>
        <w:fldChar w:fldCharType="separate"/>
      </w:r>
      <w:r w:rsidR="00BE2622">
        <w:rPr>
          <w:noProof/>
          <w:sz w:val="36"/>
          <w:szCs w:val="36"/>
        </w:rPr>
        <w:t>2</w:t>
      </w:r>
      <w:r w:rsidR="00BE2622">
        <w:rPr>
          <w:sz w:val="36"/>
          <w:szCs w:val="36"/>
        </w:rPr>
        <w:fldChar w:fldCharType="end"/>
      </w:r>
      <w:r w:rsidRPr="009F6FD8">
        <w:rPr>
          <w:sz w:val="36"/>
          <w:szCs w:val="36"/>
        </w:rPr>
        <w:t xml:space="preserve"> Evidence of TCS's International Staffing and Recruitment Strategy</w:t>
      </w:r>
    </w:p>
    <w:p w14:paraId="566024C8" w14:textId="188743D4" w:rsidR="00E10CE8" w:rsidRPr="00E10CE8" w:rsidRDefault="00E10CE8" w:rsidP="009F6FD8">
      <w:pPr>
        <w:pStyle w:val="Heading1"/>
      </w:pPr>
      <w:bookmarkStart w:id="2" w:name="_Toc236867887"/>
      <w:r w:rsidRPr="00E10CE8">
        <w:t>Training and Development</w:t>
      </w:r>
      <w:bookmarkEnd w:id="2"/>
      <w:r w:rsidRPr="00E10CE8">
        <w:t xml:space="preserve"> </w:t>
      </w:r>
    </w:p>
    <w:p w14:paraId="41700272" w14:textId="77777777" w:rsidR="00E10CE8" w:rsidRPr="00E10CE8" w:rsidRDefault="00E10CE8" w:rsidP="00E10CE8">
      <w:pPr>
        <w:spacing w:before="100" w:beforeAutospacing="1" w:after="100" w:afterAutospacing="1" w:line="360" w:lineRule="auto"/>
        <w:jc w:val="both"/>
        <w:rPr>
          <w:rFonts w:ascii="Arial" w:hAnsi="Arial" w:cs="Arial"/>
          <w:sz w:val="36"/>
          <w:szCs w:val="36"/>
        </w:rPr>
      </w:pPr>
      <w:r w:rsidRPr="00E10CE8">
        <w:rPr>
          <w:rFonts w:ascii="Arial" w:hAnsi="Arial" w:cs="Arial"/>
          <w:sz w:val="36"/>
          <w:szCs w:val="36"/>
        </w:rPr>
        <w:t>TCS treats learning and capability development as a strategic resource rather than an operational expense, reflecting strategic human resource development, where employee knowledge and skills build sustainable competitive advantage (Armstrong &amp; Taylor, 2023). In a technology sector where AI, automation and digital transformation continuously change skill requirements (WEF, 2023), TCS has built a large-scale learning ecosystem to support workforce adaptability. However, the strategic value of this investment depends on whether learning translates into measurable capability, performance and career outcomes.</w:t>
      </w:r>
    </w:p>
    <w:tbl>
      <w:tblPr>
        <w:tblStyle w:val="TableGrid"/>
        <w:tblW w:w="5000" w:type="pct"/>
        <w:tblLook w:val="04A0" w:firstRow="1" w:lastRow="0" w:firstColumn="1" w:lastColumn="0" w:noHBand="0" w:noVBand="1"/>
      </w:tblPr>
      <w:tblGrid>
        <w:gridCol w:w="2752"/>
        <w:gridCol w:w="2231"/>
        <w:gridCol w:w="2005"/>
        <w:gridCol w:w="2022"/>
      </w:tblGrid>
      <w:tr w:rsidR="00E10CE8" w:rsidRPr="00E10CE8" w14:paraId="0748A4A4" w14:textId="77777777" w:rsidTr="0067544E">
        <w:tc>
          <w:tcPr>
            <w:tcW w:w="1141" w:type="pct"/>
            <w:hideMark/>
          </w:tcPr>
          <w:p w14:paraId="011A9793" w14:textId="77777777" w:rsidR="00E10CE8" w:rsidRPr="00E10CE8" w:rsidRDefault="00E10CE8" w:rsidP="00E10CE8">
            <w:pPr>
              <w:spacing w:line="360" w:lineRule="auto"/>
              <w:jc w:val="both"/>
              <w:rPr>
                <w:rFonts w:ascii="Arial" w:hAnsi="Arial" w:cs="Arial"/>
                <w:b/>
                <w:bCs/>
                <w:sz w:val="36"/>
                <w:szCs w:val="36"/>
              </w:rPr>
            </w:pPr>
            <w:r w:rsidRPr="00E10CE8">
              <w:rPr>
                <w:rFonts w:ascii="Arial" w:hAnsi="Arial" w:cs="Arial"/>
                <w:b/>
                <w:bCs/>
                <w:sz w:val="36"/>
                <w:szCs w:val="36"/>
              </w:rPr>
              <w:lastRenderedPageBreak/>
              <w:t>T&amp;D approach</w:t>
            </w:r>
          </w:p>
        </w:tc>
        <w:tc>
          <w:tcPr>
            <w:tcW w:w="1147" w:type="pct"/>
            <w:hideMark/>
          </w:tcPr>
          <w:p w14:paraId="743592CE" w14:textId="77777777" w:rsidR="00E10CE8" w:rsidRPr="00E10CE8" w:rsidRDefault="00E10CE8" w:rsidP="00E10CE8">
            <w:pPr>
              <w:spacing w:line="360" w:lineRule="auto"/>
              <w:jc w:val="both"/>
              <w:rPr>
                <w:rFonts w:ascii="Arial" w:hAnsi="Arial" w:cs="Arial"/>
                <w:b/>
                <w:bCs/>
                <w:sz w:val="36"/>
                <w:szCs w:val="36"/>
              </w:rPr>
            </w:pPr>
            <w:r w:rsidRPr="00E10CE8">
              <w:rPr>
                <w:rFonts w:ascii="Arial" w:hAnsi="Arial" w:cs="Arial"/>
                <w:b/>
                <w:bCs/>
                <w:sz w:val="36"/>
                <w:szCs w:val="36"/>
              </w:rPr>
              <w:t>TCS practice</w:t>
            </w:r>
          </w:p>
        </w:tc>
        <w:tc>
          <w:tcPr>
            <w:tcW w:w="1286" w:type="pct"/>
            <w:hideMark/>
          </w:tcPr>
          <w:p w14:paraId="464DCFB7" w14:textId="77777777" w:rsidR="00E10CE8" w:rsidRPr="00E10CE8" w:rsidRDefault="00E10CE8" w:rsidP="00E10CE8">
            <w:pPr>
              <w:spacing w:line="360" w:lineRule="auto"/>
              <w:jc w:val="both"/>
              <w:rPr>
                <w:rFonts w:ascii="Arial" w:hAnsi="Arial" w:cs="Arial"/>
                <w:b/>
                <w:bCs/>
                <w:sz w:val="36"/>
                <w:szCs w:val="36"/>
              </w:rPr>
            </w:pPr>
            <w:r w:rsidRPr="00E10CE8">
              <w:rPr>
                <w:rFonts w:ascii="Arial" w:hAnsi="Arial" w:cs="Arial"/>
                <w:b/>
                <w:bCs/>
                <w:sz w:val="36"/>
                <w:szCs w:val="36"/>
              </w:rPr>
              <w:t>Strategic value</w:t>
            </w:r>
          </w:p>
        </w:tc>
        <w:tc>
          <w:tcPr>
            <w:tcW w:w="1344" w:type="pct"/>
            <w:hideMark/>
          </w:tcPr>
          <w:p w14:paraId="32266DA2" w14:textId="77777777" w:rsidR="00E10CE8" w:rsidRPr="00E10CE8" w:rsidRDefault="00E10CE8" w:rsidP="00E10CE8">
            <w:pPr>
              <w:spacing w:line="360" w:lineRule="auto"/>
              <w:jc w:val="both"/>
              <w:rPr>
                <w:rFonts w:ascii="Arial" w:hAnsi="Arial" w:cs="Arial"/>
                <w:b/>
                <w:bCs/>
                <w:sz w:val="36"/>
                <w:szCs w:val="36"/>
              </w:rPr>
            </w:pPr>
            <w:r w:rsidRPr="00E10CE8">
              <w:rPr>
                <w:rFonts w:ascii="Arial" w:hAnsi="Arial" w:cs="Arial"/>
                <w:b/>
                <w:bCs/>
                <w:sz w:val="36"/>
                <w:szCs w:val="36"/>
              </w:rPr>
              <w:t>Critical limitation</w:t>
            </w:r>
          </w:p>
        </w:tc>
      </w:tr>
      <w:tr w:rsidR="00E10CE8" w:rsidRPr="00E10CE8" w14:paraId="331C6929" w14:textId="77777777" w:rsidTr="0067544E">
        <w:tc>
          <w:tcPr>
            <w:tcW w:w="1141" w:type="pct"/>
            <w:hideMark/>
          </w:tcPr>
          <w:p w14:paraId="08E0D151"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Formal training</w:t>
            </w:r>
          </w:p>
        </w:tc>
        <w:tc>
          <w:tcPr>
            <w:tcW w:w="1147" w:type="pct"/>
            <w:hideMark/>
          </w:tcPr>
          <w:p w14:paraId="33CACA92"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Initial Learning Programme (ILP), structured technical training</w:t>
            </w:r>
          </w:p>
        </w:tc>
        <w:tc>
          <w:tcPr>
            <w:tcW w:w="1286" w:type="pct"/>
            <w:hideMark/>
          </w:tcPr>
          <w:p w14:paraId="05CA1B15"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Creates consistent capability foundations across a global workforce (TCS, n.d.-c)</w:t>
            </w:r>
          </w:p>
        </w:tc>
        <w:tc>
          <w:tcPr>
            <w:tcW w:w="1344" w:type="pct"/>
            <w:hideMark/>
          </w:tcPr>
          <w:p w14:paraId="357DB884"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Transfer into workplace performance depends on managerial support and application opportunities (Baldwin &amp; Ford, 1988)</w:t>
            </w:r>
          </w:p>
        </w:tc>
      </w:tr>
      <w:tr w:rsidR="00E10CE8" w:rsidRPr="00E10CE8" w14:paraId="2275C4B6" w14:textId="77777777" w:rsidTr="0067544E">
        <w:tc>
          <w:tcPr>
            <w:tcW w:w="1141" w:type="pct"/>
            <w:hideMark/>
          </w:tcPr>
          <w:p w14:paraId="63FB0F20"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Digital learning</w:t>
            </w:r>
          </w:p>
        </w:tc>
        <w:tc>
          <w:tcPr>
            <w:tcW w:w="1147" w:type="pct"/>
            <w:hideMark/>
          </w:tcPr>
          <w:p w14:paraId="31803889"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 xml:space="preserve">Learn4Life, Corporate Digital Academy, </w:t>
            </w:r>
            <w:r w:rsidRPr="00E10CE8">
              <w:rPr>
                <w:rFonts w:ascii="Arial" w:hAnsi="Arial" w:cs="Arial"/>
                <w:sz w:val="36"/>
                <w:szCs w:val="36"/>
              </w:rPr>
              <w:lastRenderedPageBreak/>
              <w:t>competency-based learning</w:t>
            </w:r>
          </w:p>
        </w:tc>
        <w:tc>
          <w:tcPr>
            <w:tcW w:w="1286" w:type="pct"/>
            <w:hideMark/>
          </w:tcPr>
          <w:p w14:paraId="1F05A78E"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lastRenderedPageBreak/>
              <w:t xml:space="preserve">Enables scalable, self-directed </w:t>
            </w:r>
            <w:r w:rsidRPr="00E10CE8">
              <w:rPr>
                <w:rFonts w:ascii="Arial" w:hAnsi="Arial" w:cs="Arial"/>
                <w:sz w:val="36"/>
                <w:szCs w:val="36"/>
              </w:rPr>
              <w:lastRenderedPageBreak/>
              <w:t>reskilling aligned with adult learning principles (Knowles et al., 2020; TCS, n.d.-d)</w:t>
            </w:r>
          </w:p>
        </w:tc>
        <w:tc>
          <w:tcPr>
            <w:tcW w:w="1344" w:type="pct"/>
            <w:hideMark/>
          </w:tcPr>
          <w:p w14:paraId="36F9A683"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lastRenderedPageBreak/>
              <w:t xml:space="preserve">Learning hours and competency records </w:t>
            </w:r>
            <w:r w:rsidRPr="00E10CE8">
              <w:rPr>
                <w:rFonts w:ascii="Arial" w:hAnsi="Arial" w:cs="Arial"/>
                <w:sz w:val="36"/>
                <w:szCs w:val="36"/>
              </w:rPr>
              <w:lastRenderedPageBreak/>
              <w:t>demonstrate activity rather than business impact (Kirkpatrick &amp; Kirkpatrick, 2016)</w:t>
            </w:r>
          </w:p>
        </w:tc>
      </w:tr>
      <w:tr w:rsidR="00E10CE8" w:rsidRPr="00E10CE8" w14:paraId="49EDC0BC" w14:textId="77777777" w:rsidTr="0067544E">
        <w:tc>
          <w:tcPr>
            <w:tcW w:w="1141" w:type="pct"/>
            <w:hideMark/>
          </w:tcPr>
          <w:p w14:paraId="1B083AC8"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lastRenderedPageBreak/>
              <w:t>Social/experiential learning</w:t>
            </w:r>
          </w:p>
        </w:tc>
        <w:tc>
          <w:tcPr>
            <w:tcW w:w="1147" w:type="pct"/>
            <w:hideMark/>
          </w:tcPr>
          <w:p w14:paraId="25C3DB22"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Hackathons, crowdsourcing and collaborative learning</w:t>
            </w:r>
          </w:p>
        </w:tc>
        <w:tc>
          <w:tcPr>
            <w:tcW w:w="1286" w:type="pct"/>
            <w:hideMark/>
          </w:tcPr>
          <w:p w14:paraId="65BA5DF9"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Encourages innovation and practical knowledge application (Kolb, 1984; Wenger, 1998)</w:t>
            </w:r>
          </w:p>
        </w:tc>
        <w:tc>
          <w:tcPr>
            <w:tcW w:w="1344" w:type="pct"/>
            <w:hideMark/>
          </w:tcPr>
          <w:p w14:paraId="39B40342"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Contribution and capability improvement are difficult to measure</w:t>
            </w:r>
          </w:p>
        </w:tc>
      </w:tr>
      <w:tr w:rsidR="00E10CE8" w:rsidRPr="00E10CE8" w14:paraId="62D36B91" w14:textId="77777777" w:rsidTr="0067544E">
        <w:tc>
          <w:tcPr>
            <w:tcW w:w="1141" w:type="pct"/>
            <w:hideMark/>
          </w:tcPr>
          <w:p w14:paraId="4107CA42"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lastRenderedPageBreak/>
              <w:t>Employee development</w:t>
            </w:r>
          </w:p>
        </w:tc>
        <w:tc>
          <w:tcPr>
            <w:tcW w:w="1147" w:type="pct"/>
            <w:hideMark/>
          </w:tcPr>
          <w:p w14:paraId="62E71746"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Competency frameworks and internal capability building</w:t>
            </w:r>
          </w:p>
        </w:tc>
        <w:tc>
          <w:tcPr>
            <w:tcW w:w="1286" w:type="pct"/>
            <w:hideMark/>
          </w:tcPr>
          <w:p w14:paraId="5674B557"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Supports workforce planning and internal talent development (Bassett-Jones, 2023)</w:t>
            </w:r>
          </w:p>
        </w:tc>
        <w:tc>
          <w:tcPr>
            <w:tcW w:w="1344" w:type="pct"/>
            <w:hideMark/>
          </w:tcPr>
          <w:p w14:paraId="565DAD6F" w14:textId="77777777" w:rsidR="00E10CE8" w:rsidRPr="00E10CE8" w:rsidRDefault="00E10CE8" w:rsidP="006F54B4">
            <w:pPr>
              <w:keepNext/>
              <w:spacing w:line="360" w:lineRule="auto"/>
              <w:jc w:val="both"/>
              <w:rPr>
                <w:rFonts w:ascii="Arial" w:hAnsi="Arial" w:cs="Arial"/>
                <w:sz w:val="36"/>
                <w:szCs w:val="36"/>
              </w:rPr>
            </w:pPr>
            <w:r w:rsidRPr="00E10CE8">
              <w:rPr>
                <w:rFonts w:ascii="Arial" w:hAnsi="Arial" w:cs="Arial"/>
                <w:sz w:val="36"/>
                <w:szCs w:val="36"/>
              </w:rPr>
              <w:t>Limited public evidence links skills development with promotion, leadership progression or career outcomes</w:t>
            </w:r>
          </w:p>
        </w:tc>
      </w:tr>
    </w:tbl>
    <w:p w14:paraId="137A9D68" w14:textId="7D2D0756" w:rsidR="006F54B4" w:rsidRDefault="006F54B4">
      <w:pPr>
        <w:pStyle w:val="Caption"/>
      </w:pPr>
      <w:r>
        <w:t xml:space="preserve">Table </w:t>
      </w:r>
      <w:fldSimple w:instr=" SEQ Table \* ARABIC ">
        <w:r w:rsidR="00BE2622">
          <w:rPr>
            <w:noProof/>
          </w:rPr>
          <w:t>3</w:t>
        </w:r>
      </w:fldSimple>
      <w:r>
        <w:t xml:space="preserve"> T&amp;D approaches by TCS</w:t>
      </w:r>
    </w:p>
    <w:p w14:paraId="63D27742" w14:textId="77777777" w:rsidR="00E10CE8" w:rsidRPr="00E10CE8" w:rsidRDefault="00E10CE8" w:rsidP="00E10CE8">
      <w:pPr>
        <w:spacing w:before="100" w:beforeAutospacing="1" w:after="100" w:afterAutospacing="1" w:line="360" w:lineRule="auto"/>
        <w:jc w:val="both"/>
        <w:rPr>
          <w:rFonts w:ascii="Arial" w:hAnsi="Arial" w:cs="Arial"/>
          <w:sz w:val="36"/>
          <w:szCs w:val="36"/>
        </w:rPr>
      </w:pPr>
      <w:r w:rsidRPr="00E10CE8">
        <w:rPr>
          <w:rFonts w:ascii="Arial" w:hAnsi="Arial" w:cs="Arial"/>
          <w:sz w:val="36"/>
          <w:szCs w:val="36"/>
        </w:rPr>
        <w:t>TCS's primary strength is the scale and flexibility of its learning architecture. Its mix of formal training, digital platforms and collaborative learning suits a technology organisation requiring continuous reskilling, and employee-driven digital learning aligns with adult learning theory, letting employees develop skills according to organisational needs and career interests (Knowles et al., 2020).</w:t>
      </w:r>
    </w:p>
    <w:p w14:paraId="1C361A29" w14:textId="77777777" w:rsidR="00E10CE8" w:rsidRPr="00E10CE8" w:rsidRDefault="00E10CE8" w:rsidP="00E10CE8">
      <w:pPr>
        <w:spacing w:before="100" w:beforeAutospacing="1" w:after="100" w:afterAutospacing="1" w:line="360" w:lineRule="auto"/>
        <w:jc w:val="both"/>
        <w:rPr>
          <w:rFonts w:ascii="Arial" w:hAnsi="Arial" w:cs="Arial"/>
          <w:sz w:val="36"/>
          <w:szCs w:val="36"/>
        </w:rPr>
      </w:pPr>
      <w:r w:rsidRPr="00E10CE8">
        <w:rPr>
          <w:rFonts w:ascii="Arial" w:hAnsi="Arial" w:cs="Arial"/>
          <w:sz w:val="36"/>
          <w:szCs w:val="36"/>
        </w:rPr>
        <w:t xml:space="preserve">The main weakness is limited evidence connecting learning investment with measurable outcomes. TCS </w:t>
      </w:r>
      <w:r w:rsidRPr="00E10CE8">
        <w:rPr>
          <w:rFonts w:ascii="Arial" w:hAnsi="Arial" w:cs="Arial"/>
          <w:sz w:val="36"/>
          <w:szCs w:val="36"/>
        </w:rPr>
        <w:lastRenderedPageBreak/>
        <w:t>reports substantial activity such as learning hours and competency development, but these do not demonstrate behavioural change, productivity improvement or return on investment. Kirkpatrick and Kirkpatrick's (2016) framework requires organisations to assess whether learning changes workplace behaviour and contributes to performance.</w:t>
      </w:r>
    </w:p>
    <w:p w14:paraId="6296620C" w14:textId="77777777" w:rsidR="00E10CE8" w:rsidRPr="00E10CE8" w:rsidRDefault="00E10CE8" w:rsidP="00E10CE8">
      <w:pPr>
        <w:spacing w:before="100" w:beforeAutospacing="1" w:after="100" w:afterAutospacing="1" w:line="360" w:lineRule="auto"/>
        <w:jc w:val="both"/>
        <w:rPr>
          <w:rFonts w:ascii="Arial" w:hAnsi="Arial" w:cs="Arial"/>
          <w:sz w:val="36"/>
          <w:szCs w:val="36"/>
        </w:rPr>
      </w:pPr>
      <w:r w:rsidRPr="00E10CE8">
        <w:rPr>
          <w:rFonts w:ascii="Arial" w:hAnsi="Arial" w:cs="Arial"/>
          <w:sz w:val="36"/>
          <w:szCs w:val="36"/>
        </w:rPr>
        <w:t>Competency development similarly gives visibility of available skills but not effective deployment. Without stronger evidence of career progression, leadership development and learning transfer, TCS risks a high-volume learning system rather than an outcome-driven model. It therefore demonstrates mature learning infrastructure, but its strategic challenge is proving that capability investment creates measurable employee and organisational value.</w:t>
      </w:r>
    </w:p>
    <w:p w14:paraId="3E3C4751" w14:textId="77777777" w:rsidR="00E10CE8" w:rsidRPr="001F67B8" w:rsidRDefault="00E10CE8" w:rsidP="001F67B8">
      <w:pPr>
        <w:pStyle w:val="Heading1"/>
      </w:pPr>
      <w:bookmarkStart w:id="3" w:name="_Toc236867888"/>
      <w:r w:rsidRPr="001F67B8">
        <w:t>Rewards and Performance Strategy</w:t>
      </w:r>
      <w:bookmarkEnd w:id="3"/>
    </w:p>
    <w:p w14:paraId="2988C9EA"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 xml:space="preserve">Judged against the total reward model, which locates advantage in blending transactional rewards with harder-to-imitate relational ones (Armstrong &amp; Brown, 2019), TCS presents a textbook design. Its financial offer spans </w:t>
      </w:r>
      <w:r w:rsidRPr="00E10CE8">
        <w:rPr>
          <w:rFonts w:ascii="Arial" w:hAnsi="Arial" w:cs="Arial"/>
          <w:sz w:val="36"/>
          <w:szCs w:val="36"/>
        </w:rPr>
        <w:lastRenderedPageBreak/>
        <w:t>competitive pay, provident fund, gratuity and maternity/paternity leave, while its relational offer runs through the TCS Gems framework of Star of the Month awards, on-the-spot recognition, fast-track promotions (TCS, 2014). This is reinforced by “Feedback to Feedforward™”, a continuous cloud-based appraisal adopted since 2017 by roughly 60% of the workforce, replacing annual reviews with real-time feedback (TCS, n.d.-e).</w:t>
      </w:r>
    </w:p>
    <w:p w14:paraId="7FB6E787"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 xml:space="preserve">The evaluative problem is that design and outcome diverge. TCS's “industry-best” 87% retention claim is the arithmetic inverse of its ~13% attrition, presented without engagement data to establish causation (TCS, 2025). Benchmarking weakens it: FY2026 attrition of 13.3–13.8% sits below Infosys (14.4%) and Wipro (15.1%) but is matched or beaten by Cognizant (13.9%) and HCLTech (12.8%), so “best” holds only through selective comparison (Angel One, 2025). Benefits are two-sided: TCS (£5,303) leads Infosys (£4,508) but trails IBM (£6,536) and Accenture (£7,128). Entry-level pay comparisons place IBM ahead of both TCS and Infosys </w:t>
      </w:r>
      <w:r w:rsidRPr="00E10CE8">
        <w:rPr>
          <w:rFonts w:ascii="Arial" w:hAnsi="Arial" w:cs="Arial"/>
          <w:sz w:val="36"/>
          <w:szCs w:val="36"/>
        </w:rPr>
        <w:lastRenderedPageBreak/>
        <w:t>on stock and bonus (Levels.fyi, n.d.). Rewards are thus effective against Indian peers but mid-tier globally.</w:t>
      </w:r>
    </w:p>
    <w:p w14:paraId="26DD17DC" w14:textId="77777777" w:rsidR="00E10CE8" w:rsidRPr="00E10CE8" w:rsidRDefault="00E10CE8" w:rsidP="00E10CE8">
      <w:pPr>
        <w:spacing w:line="360" w:lineRule="auto"/>
        <w:jc w:val="both"/>
        <w:rPr>
          <w:rFonts w:ascii="Arial" w:hAnsi="Arial" w:cs="Arial"/>
          <w:sz w:val="36"/>
          <w:szCs w:val="36"/>
        </w:rPr>
      </w:pPr>
      <w:r w:rsidRPr="00E10CE8">
        <w:rPr>
          <w:rFonts w:ascii="Arial" w:hAnsi="Arial" w:cs="Arial"/>
          <w:sz w:val="36"/>
          <w:szCs w:val="36"/>
        </w:rPr>
        <w:t xml:space="preserve">Employee sentiment exposes the widest gap. TCS's overall Glassdoor rating of 3.5/5 is respectable, yet compensation scores only 2.8/5, with recurring complaints that variable pay is rarely paid in full (Glassdoor, n.d.). This matters through expectancy theory: where employees doubt effort reliably converts into reward, the effort–performance–outcome chain breaks down (Vroom, 1964), while equity theory (Adams, 1965) amplifies perceived unfairness as recognition-rich rhetoric coexists with inconsistent pay. This sharpened in 2025, when TCS introduced a bench policy requiring 225 billing days, capped bench time at 35 days backed by improvement plans and possible termination, alongside roughly 12,200 job cuts (TCS, 2026a; Varghese, 2025). A system framed as developmental “feedforward” thus doubled as a utilisation and exit mechanism. Overall, the reward architecture is theoretically sound but only partially validated, its strongest claims resting on self-reported, selectively benchmarked figures while </w:t>
      </w:r>
      <w:r w:rsidRPr="00E10CE8">
        <w:rPr>
          <w:rFonts w:ascii="Arial" w:hAnsi="Arial" w:cs="Arial"/>
          <w:sz w:val="36"/>
          <w:szCs w:val="36"/>
        </w:rPr>
        <w:lastRenderedPageBreak/>
        <w:t>independent sentiment and 2025 actions reveal a gap between promise and experience.</w:t>
      </w:r>
    </w:p>
    <w:p w14:paraId="2DE88C34" w14:textId="77777777" w:rsidR="00E10CE8" w:rsidRPr="00E10CE8" w:rsidRDefault="00E10CE8" w:rsidP="00E10CE8">
      <w:pPr>
        <w:spacing w:line="360" w:lineRule="auto"/>
        <w:jc w:val="both"/>
        <w:rPr>
          <w:rFonts w:ascii="Arial" w:hAnsi="Arial" w:cs="Arial"/>
          <w:sz w:val="36"/>
          <w:szCs w:val="36"/>
        </w:rPr>
      </w:pPr>
    </w:p>
    <w:p w14:paraId="4D5775CA" w14:textId="77777777" w:rsidR="00E10CE8" w:rsidRPr="00E10CE8" w:rsidRDefault="00E10CE8" w:rsidP="009F6FD8">
      <w:pPr>
        <w:pStyle w:val="Heading1"/>
        <w:spacing w:before="0"/>
      </w:pPr>
      <w:bookmarkStart w:id="4" w:name="_Toc236867889"/>
      <w:r w:rsidRPr="00E10CE8">
        <w:t>Diversity and Inclusion</w:t>
      </w:r>
      <w:bookmarkEnd w:id="4"/>
    </w:p>
    <w:p w14:paraId="45CB9E6A" w14:textId="2F891636" w:rsidR="009F6FD8" w:rsidRPr="00E10CE8" w:rsidRDefault="00E10CE8" w:rsidP="009F6FD8">
      <w:pPr>
        <w:spacing w:line="360" w:lineRule="auto"/>
        <w:jc w:val="both"/>
        <w:rPr>
          <w:rFonts w:ascii="Arial" w:hAnsi="Arial" w:cs="Arial"/>
          <w:sz w:val="36"/>
          <w:szCs w:val="36"/>
        </w:rPr>
      </w:pPr>
      <w:r w:rsidRPr="00E10CE8">
        <w:rPr>
          <w:rFonts w:ascii="Arial" w:hAnsi="Arial" w:cs="Arial"/>
          <w:sz w:val="36"/>
          <w:szCs w:val="36"/>
        </w:rPr>
        <w:t>TCS positions itself as a genuinely global organisation, over 600,000 people across more than 50 countries and 150 nationalities, framing diversity as a source of innovation rather than optics (TCS, n.d.-f). This is operationalised through its “Inclusion without Exception” strategy, delivered by the LeaD function across five pillars (representation, ecosystem, enablement, engagement and development) spanning gender, LGBTQ+ inclusion, persons with disabilities (PwD), neurodiversity, and race and ethnicity, supported by digital DEI training and PwD hiring guidelines (TCS, 2021, n.d.-g). Yet a persuasive analysis must look beyond policy to lived experience.</w:t>
      </w:r>
    </w:p>
    <w:p w14:paraId="77EF4AA8" w14:textId="77777777" w:rsidR="00E10CE8" w:rsidRPr="00E10CE8" w:rsidRDefault="00E10CE8" w:rsidP="00E10CE8">
      <w:pPr>
        <w:spacing w:before="100" w:beforeAutospacing="1" w:after="100" w:afterAutospacing="1" w:line="360" w:lineRule="auto"/>
        <w:jc w:val="both"/>
        <w:rPr>
          <w:rFonts w:ascii="Arial" w:hAnsi="Arial" w:cs="Arial"/>
          <w:sz w:val="36"/>
          <w:szCs w:val="36"/>
        </w:rPr>
      </w:pPr>
      <w:r w:rsidRPr="00E10CE8">
        <w:rPr>
          <w:rFonts w:ascii="Arial" w:hAnsi="Arial" w:cs="Arial"/>
          <w:sz w:val="36"/>
          <w:szCs w:val="36"/>
        </w:rPr>
        <w:t xml:space="preserve">The central cross-cultural challenge is that a DEI framework designed in one context does not transfer cleanly across 150 nationalities. Kushwaha et al. (2024), citing Das (2021), report that many LGBTQ+ employees stay reluctant to disclose their identities despite anti-discrimination policies, because formal rules have not </w:t>
      </w:r>
      <w:r w:rsidRPr="00E10CE8">
        <w:rPr>
          <w:rFonts w:ascii="Arial" w:hAnsi="Arial" w:cs="Arial"/>
          <w:sz w:val="36"/>
          <w:szCs w:val="36"/>
        </w:rPr>
        <w:lastRenderedPageBreak/>
        <w:t>produced psychological safety. Hofstede's framework clarifies this: India's collectivist orientation (Individualism 48) privileges in-group loyalty over self-expression (Hofstede Insights, n.d.), so inclusion must be culturally embedded, not legislated. The tension recurs in recruitment, where TCS's first-come-first-served, high-eligibility entry process is transparent yet does little to reach underrepresented candidates, a gap Kiradoo (2022) argues requires blind résumé screening and community partnerships.</w:t>
      </w:r>
    </w:p>
    <w:p w14:paraId="321019A6" w14:textId="77777777" w:rsidR="00E10CE8" w:rsidRPr="00E10CE8" w:rsidRDefault="00E10CE8" w:rsidP="00E10CE8">
      <w:pPr>
        <w:spacing w:before="100" w:beforeAutospacing="1" w:after="100" w:afterAutospacing="1" w:line="360" w:lineRule="auto"/>
        <w:jc w:val="both"/>
        <w:rPr>
          <w:rFonts w:ascii="Arial" w:hAnsi="Arial" w:cs="Arial"/>
          <w:sz w:val="36"/>
          <w:szCs w:val="36"/>
        </w:rPr>
      </w:pPr>
      <w:r w:rsidRPr="00E10CE8">
        <w:rPr>
          <w:rFonts w:ascii="Arial" w:hAnsi="Arial" w:cs="Arial"/>
          <w:sz w:val="36"/>
          <w:szCs w:val="36"/>
        </w:rPr>
        <w:t xml:space="preserve">The most strategically significant issue is leadership. Although TCS has a strong Indian talent pipeline through campus hiring, its international leadership development appears thin and senior leadership remains predominantly Indian. This is culturally reinforced: India records one of the highest Power Distance scores (77), reflecting acceptance of hierarchical, centralised authority (Hofstede Insights, n.d.), which can quietly reproduce homogeneous, top-down leadership. The business case is material: McKinsey &amp; Company (2023) found top-quartile firms for executive ethnic diversity are </w:t>
      </w:r>
      <w:r w:rsidRPr="00E10CE8">
        <w:rPr>
          <w:rFonts w:ascii="Arial" w:hAnsi="Arial" w:cs="Arial"/>
          <w:sz w:val="36"/>
          <w:szCs w:val="36"/>
        </w:rPr>
        <w:lastRenderedPageBreak/>
        <w:t>39% more likely to outperform financially, and bottom-quartile firms 66% less likely.</w:t>
      </w:r>
    </w:p>
    <w:p w14:paraId="2EB4D0A5" w14:textId="77777777" w:rsidR="00E10CE8" w:rsidRPr="00E10CE8" w:rsidRDefault="00E10CE8" w:rsidP="00E10CE8">
      <w:pPr>
        <w:spacing w:before="100" w:beforeAutospacing="1" w:after="100" w:afterAutospacing="1" w:line="360" w:lineRule="auto"/>
        <w:jc w:val="both"/>
        <w:rPr>
          <w:rFonts w:ascii="Arial" w:hAnsi="Arial" w:cs="Arial"/>
          <w:sz w:val="36"/>
          <w:szCs w:val="36"/>
        </w:rPr>
      </w:pPr>
      <w:r w:rsidRPr="00E10CE8">
        <w:rPr>
          <w:rFonts w:ascii="Arial" w:hAnsi="Arial" w:cs="Arial"/>
          <w:sz w:val="36"/>
          <w:szCs w:val="36"/>
        </w:rPr>
        <w:t>Both national frameworks warrant caution: Hofstede's generalisations overlook within-country variation (McSweeney, 2002), and Trompenaars and Hampden-Turner (2012) show cultures also diverge along universalism–particularism, cautioning against a single template. This reinforces the core lesson: effective global DEI depends on balancing globally consistent principles with locally adapted practice, not exporting one model. TCS has built a commendable DEI architecture, but its long-term global competitiveness depends on diversifying international leadership and localising, rather than standardising, its inclusion strategy.</w:t>
      </w:r>
    </w:p>
    <w:p w14:paraId="61D4C7BC" w14:textId="77777777" w:rsidR="00E10CE8" w:rsidRPr="00E10CE8" w:rsidRDefault="00E10CE8" w:rsidP="001F67B8">
      <w:pPr>
        <w:pStyle w:val="Heading1"/>
      </w:pPr>
      <w:bookmarkStart w:id="5" w:name="_Toc236867890"/>
      <w:r w:rsidRPr="00E10CE8">
        <w:t>Engagement, Participation and Wellbeing</w:t>
      </w:r>
      <w:bookmarkEnd w:id="5"/>
    </w:p>
    <w:p w14:paraId="3AFF7361" w14:textId="77777777" w:rsidR="00E10CE8" w:rsidRPr="00E10CE8" w:rsidRDefault="00E10CE8" w:rsidP="00E10CE8">
      <w:pPr>
        <w:pStyle w:val="font-claude-response-body"/>
        <w:spacing w:line="360" w:lineRule="auto"/>
        <w:jc w:val="both"/>
        <w:rPr>
          <w:rFonts w:ascii="Arial" w:hAnsi="Arial" w:cs="Arial"/>
          <w:sz w:val="36"/>
          <w:szCs w:val="36"/>
        </w:rPr>
      </w:pPr>
      <w:r w:rsidRPr="00E10CE8">
        <w:rPr>
          <w:rFonts w:ascii="Arial" w:hAnsi="Arial" w:cs="Arial"/>
          <w:sz w:val="36"/>
          <w:szCs w:val="36"/>
        </w:rPr>
        <w:t xml:space="preserve">TCS embeds work–life balance and wellbeing across recruitment, retention, leadership development and performance management (Shailashri &amp; Shenoy, 2017, p. 280–294). Guest's (2017) framework offers a rigorous lens: a positive employment relationship built on trust, fairness and a fulfilled psychological contract arises only </w:t>
      </w:r>
      <w:r w:rsidRPr="00E10CE8">
        <w:rPr>
          <w:rFonts w:ascii="Arial" w:hAnsi="Arial" w:cs="Arial"/>
          <w:sz w:val="36"/>
          <w:szCs w:val="36"/>
        </w:rPr>
        <w:lastRenderedPageBreak/>
        <w:t>from a balanced “diet” of five HR practices; investing in employees, engaging work, a positive environment, voice, and organisational support; with no single practice compensating for deficits in another (Guest, 2017, p. 30–32). The Job Demands–Resources model reinforces this, framing wellbeing as the balance between demands and resources such as autonomy and support (Bakker &amp; Demerouti, 2017, p. 273).</w:t>
      </w:r>
    </w:p>
    <w:p w14:paraId="74FA2248" w14:textId="451B76FA" w:rsidR="00E10CE8" w:rsidRPr="00E10CE8" w:rsidRDefault="00E10CE8" w:rsidP="00E10CE8">
      <w:pPr>
        <w:pStyle w:val="font-claude-response-body"/>
        <w:spacing w:line="360" w:lineRule="auto"/>
        <w:jc w:val="both"/>
        <w:rPr>
          <w:rFonts w:ascii="Arial" w:hAnsi="Arial" w:cs="Arial"/>
          <w:sz w:val="36"/>
          <w:szCs w:val="36"/>
        </w:rPr>
      </w:pPr>
      <w:r w:rsidRPr="00E10CE8">
        <w:rPr>
          <w:rFonts w:ascii="Arial" w:hAnsi="Arial" w:cs="Arial"/>
          <w:sz w:val="36"/>
          <w:szCs w:val="36"/>
        </w:rPr>
        <w:t>Judged against these models, TCS is credible on investment and support. Its wellbeing architecture is genuine: TCS Cares provides confidential 24×7 counselling and peer support complemented by Emotional Wellbeing Leave (TCS, n.d.-h), while established participation mechanisms; PEEP one-to-one engagement, the PULSE satisfaction survey, and the Knome social platform used by most employees; provide real voice infrastructure (TCS, 2007). These map onto Guest's positive-environment and voice antecedents (Guest, 2017, p.31) and supply the resources JD-R identifies as buffering demands (Bakker &amp; Demerouti, 2017, p.273).</w:t>
      </w:r>
    </w:p>
    <w:p w14:paraId="3B022063" w14:textId="77777777" w:rsidR="00E10CE8" w:rsidRPr="00E10CE8" w:rsidRDefault="00E10CE8" w:rsidP="00E10CE8">
      <w:pPr>
        <w:pStyle w:val="font-claude-response-body"/>
        <w:spacing w:line="360" w:lineRule="auto"/>
        <w:jc w:val="both"/>
        <w:rPr>
          <w:rFonts w:ascii="Arial" w:hAnsi="Arial" w:cs="Arial"/>
          <w:sz w:val="36"/>
          <w:szCs w:val="36"/>
        </w:rPr>
      </w:pPr>
      <w:r w:rsidRPr="00E10CE8">
        <w:rPr>
          <w:rFonts w:ascii="Arial" w:hAnsi="Arial" w:cs="Arial"/>
          <w:sz w:val="36"/>
          <w:szCs w:val="36"/>
        </w:rPr>
        <w:lastRenderedPageBreak/>
        <w:t>The strategic weakness is that this evidence is largely historical while its contemporary counterpart is thin. TCS's strongest primary-sourced participation tools (PEEP, PULSE) date to 2006–07 (TCS, 2007). This signals a drift from participation toward control. The mandatory return-to-office mandate erodes the autonomy Guest positions as the primary resource within engaging work (Guest, 2017, p. 31); TCS cites reduced remote-meeting effectiveness (TCS, 2022), yet imposing it top-down without visible two-way voice signals that participation is rhetorical, weakening the psychological contract on which engagement rests (Guest, 2017, pp. 31–32). The shift in “PIP” from Process Improvement Proposal (TCS, 2007) to Performance Improvement Plan, a corrective and exit tool, symbolises this reorientation, privileging monitoring over participation and treating wellbeing instrumentally, which Guest warns against (Guest, 2017, p. 23).</w:t>
      </w:r>
    </w:p>
    <w:p w14:paraId="26052D42" w14:textId="4F084900" w:rsidR="00E10CE8" w:rsidRPr="001F67B8" w:rsidRDefault="00E10CE8" w:rsidP="001F67B8">
      <w:pPr>
        <w:pStyle w:val="font-claude-response-body"/>
        <w:spacing w:line="360" w:lineRule="auto"/>
        <w:jc w:val="both"/>
        <w:rPr>
          <w:rFonts w:ascii="Arial" w:hAnsi="Arial" w:cs="Arial"/>
          <w:sz w:val="36"/>
          <w:szCs w:val="36"/>
        </w:rPr>
      </w:pPr>
      <w:r w:rsidRPr="00E10CE8">
        <w:rPr>
          <w:rFonts w:ascii="Arial" w:hAnsi="Arial" w:cs="Arial"/>
          <w:sz w:val="36"/>
          <w:szCs w:val="36"/>
        </w:rPr>
        <w:t xml:space="preserve">In sum, TCS possesses a genuine wellbeing and engagement architecture, but Guest's and JD-R's frameworks expose a strategic gap: its participation evidence is dated, its contemporary upward-voice </w:t>
      </w:r>
      <w:r w:rsidRPr="00E10CE8">
        <w:rPr>
          <w:rFonts w:ascii="Arial" w:hAnsi="Arial" w:cs="Arial"/>
          <w:sz w:val="36"/>
          <w:szCs w:val="36"/>
        </w:rPr>
        <w:lastRenderedPageBreak/>
        <w:t>mechanisms are thin, and its RTO and monitoring culture suppress the autonomy and voice on which a positive employment relationship depends (Guest, 2017, p. 32).</w:t>
      </w:r>
    </w:p>
    <w:p w14:paraId="2E1BEB80" w14:textId="091FDA45" w:rsidR="00C77DE1" w:rsidRPr="001F67B8" w:rsidRDefault="004416A3" w:rsidP="001F67B8">
      <w:pPr>
        <w:pStyle w:val="Heading1"/>
      </w:pPr>
      <w:bookmarkStart w:id="6" w:name="_Toc236867891"/>
      <w:r w:rsidRPr="001F67B8">
        <w:t>Human Resource Business Partner (HRBP)</w:t>
      </w:r>
      <w:bookmarkEnd w:id="6"/>
    </w:p>
    <w:p w14:paraId="0026495F" w14:textId="77777777" w:rsidR="00752A6A" w:rsidRPr="00E10CE8" w:rsidRDefault="00752A6A" w:rsidP="00E10CE8">
      <w:pPr>
        <w:spacing w:line="360" w:lineRule="auto"/>
        <w:jc w:val="both"/>
        <w:rPr>
          <w:rFonts w:ascii="Arial" w:hAnsi="Arial" w:cs="Arial"/>
          <w:bCs/>
          <w:sz w:val="36"/>
          <w:szCs w:val="36"/>
        </w:rPr>
      </w:pPr>
      <w:r w:rsidRPr="00E10CE8">
        <w:rPr>
          <w:rFonts w:ascii="Arial" w:hAnsi="Arial" w:cs="Arial"/>
          <w:bCs/>
          <w:sz w:val="36"/>
          <w:szCs w:val="36"/>
        </w:rPr>
        <w:t>At TCS, the Senior HRBP occupies a deliberately strategic position: it ensures the HRM strategy is not merely designed but actively implemented and continuously evaluated within assigned business units. On implementation, the HRBP partners with business leaders to convert priorities into practical people plans across workforce planning, talent management, succession, engagement, capability development and organisational design (TCS, 2026b). It also safeguards governance; ensuring compliance with HR policies, governance frameworks and employment law; and provides strategic guidance through change events such as restructures, consultations, redundancies and transformation. This maps onto Ulrich's multiple-role model, requiring the HRBP to act at once as strategic partner, change agent, administrative expert and employee champion (Ulrich, 1997, as cited in Ibrahim, 2015, p. 3–4).</w:t>
      </w:r>
    </w:p>
    <w:p w14:paraId="57D97A02" w14:textId="77777777" w:rsidR="00752A6A" w:rsidRPr="00E10CE8" w:rsidRDefault="00752A6A" w:rsidP="00E10CE8">
      <w:pPr>
        <w:spacing w:line="360" w:lineRule="auto"/>
        <w:jc w:val="both"/>
        <w:rPr>
          <w:rFonts w:ascii="Arial" w:hAnsi="Arial" w:cs="Arial"/>
          <w:bCs/>
          <w:sz w:val="36"/>
          <w:szCs w:val="36"/>
        </w:rPr>
      </w:pPr>
    </w:p>
    <w:p w14:paraId="4D2A76EB" w14:textId="77777777" w:rsidR="00752A6A" w:rsidRPr="00E10CE8" w:rsidRDefault="00752A6A" w:rsidP="00E10CE8">
      <w:pPr>
        <w:spacing w:line="360" w:lineRule="auto"/>
        <w:jc w:val="both"/>
        <w:rPr>
          <w:rFonts w:ascii="Arial" w:hAnsi="Arial" w:cs="Arial"/>
          <w:bCs/>
          <w:sz w:val="36"/>
          <w:szCs w:val="36"/>
        </w:rPr>
      </w:pPr>
      <w:r w:rsidRPr="00E10CE8">
        <w:rPr>
          <w:rFonts w:ascii="Arial" w:hAnsi="Arial" w:cs="Arial"/>
          <w:bCs/>
          <w:sz w:val="36"/>
          <w:szCs w:val="36"/>
        </w:rPr>
        <w:t>Crucially, the role weights the evaluation of strategy as heavily as its delivery. The HRBP is expected to leverage people analytics to measure workforce impact, interpreting metrics such as attrition, absence, employee-relations cases and capability gaps to diagnose organisational risks and present data-driven recommendations to senior leaders (TCS, 2026b). This measurement mandate elevates the role from operational support to genuine business partnering, obliging the HRBP to demonstrate quantitatively that people strategy produces business outcomes, mirroring Ulrich's insistence that HR add measurable value rather than merely administer process (Ulrich, 1997, as cited in Ibrahim, 2015, p. 3–4).</w:t>
      </w:r>
    </w:p>
    <w:p w14:paraId="7120F594" w14:textId="77777777" w:rsidR="00752A6A" w:rsidRPr="00E10CE8" w:rsidRDefault="00752A6A" w:rsidP="00E10CE8">
      <w:pPr>
        <w:spacing w:line="360" w:lineRule="auto"/>
        <w:jc w:val="both"/>
        <w:rPr>
          <w:rFonts w:ascii="Arial" w:hAnsi="Arial" w:cs="Arial"/>
          <w:bCs/>
          <w:sz w:val="36"/>
          <w:szCs w:val="36"/>
        </w:rPr>
      </w:pPr>
    </w:p>
    <w:p w14:paraId="187A114D" w14:textId="77777777" w:rsidR="00752A6A" w:rsidRPr="00E10CE8" w:rsidRDefault="00752A6A" w:rsidP="00E10CE8">
      <w:pPr>
        <w:spacing w:line="360" w:lineRule="auto"/>
        <w:jc w:val="both"/>
        <w:rPr>
          <w:rFonts w:ascii="Arial" w:hAnsi="Arial" w:cs="Arial"/>
          <w:b/>
          <w:sz w:val="36"/>
          <w:szCs w:val="36"/>
          <w:u w:val="single"/>
        </w:rPr>
      </w:pPr>
      <w:r w:rsidRPr="00E10CE8">
        <w:rPr>
          <w:rFonts w:ascii="Arial" w:hAnsi="Arial" w:cs="Arial"/>
          <w:b/>
          <w:sz w:val="36"/>
          <w:szCs w:val="36"/>
          <w:u w:val="single"/>
        </w:rPr>
        <w:t>The Challenges:</w:t>
      </w:r>
    </w:p>
    <w:p w14:paraId="1DF6650E" w14:textId="77777777" w:rsidR="00752A6A" w:rsidRPr="00E10CE8" w:rsidRDefault="00752A6A" w:rsidP="00E10CE8">
      <w:pPr>
        <w:spacing w:line="360" w:lineRule="auto"/>
        <w:jc w:val="both"/>
        <w:rPr>
          <w:rFonts w:ascii="Arial" w:hAnsi="Arial" w:cs="Arial"/>
          <w:bCs/>
          <w:sz w:val="36"/>
          <w:szCs w:val="36"/>
        </w:rPr>
      </w:pPr>
      <w:r w:rsidRPr="00E10CE8">
        <w:rPr>
          <w:rFonts w:ascii="Arial" w:hAnsi="Arial" w:cs="Arial"/>
          <w:bCs/>
          <w:sz w:val="36"/>
          <w:szCs w:val="36"/>
        </w:rPr>
        <w:t xml:space="preserve">The most acute challenge is the tension between strategic and transactional demands, magnified by scale. Deloitte (2013, p. 4) distinguishes “leading” partners from “lagging” ones who retain heavy operational duties and struggle to make an impact. At TCS, the FY26 </w:t>
      </w:r>
      <w:r w:rsidRPr="00E10CE8">
        <w:rPr>
          <w:rFonts w:ascii="Arial" w:hAnsi="Arial" w:cs="Arial"/>
          <w:bCs/>
          <w:sz w:val="36"/>
          <w:szCs w:val="36"/>
        </w:rPr>
        <w:lastRenderedPageBreak/>
        <w:t>restructuring removing roughly 12,000 mainly middle- and senior-management roles (People Matters, 2025) pulls HRBPs into Ulrich's change-agent role. Yet the administrative weight of redeployment, consultation and redundancy across a 600,000-strong workforce risks collapsing that ambition back into transactional processing, the trap Deloitte warns against (Deloitte, 2013, p. 4). Delivering restructuring as genuine organisational design rather than headcount paperwork is therefore the defining test of HRBP maturity at TCS.</w:t>
      </w:r>
    </w:p>
    <w:p w14:paraId="108F98C4" w14:textId="77777777" w:rsidR="00752A6A" w:rsidRPr="00E10CE8" w:rsidRDefault="00752A6A" w:rsidP="00E10CE8">
      <w:pPr>
        <w:spacing w:line="360" w:lineRule="auto"/>
        <w:jc w:val="both"/>
        <w:rPr>
          <w:rFonts w:ascii="Arial" w:hAnsi="Arial" w:cs="Arial"/>
          <w:bCs/>
          <w:sz w:val="36"/>
          <w:szCs w:val="36"/>
        </w:rPr>
      </w:pPr>
    </w:p>
    <w:p w14:paraId="6FE44009" w14:textId="77777777" w:rsidR="00752A6A" w:rsidRPr="00E10CE8" w:rsidRDefault="00752A6A" w:rsidP="00E10CE8">
      <w:pPr>
        <w:spacing w:line="360" w:lineRule="auto"/>
        <w:jc w:val="both"/>
        <w:rPr>
          <w:rFonts w:ascii="Arial" w:hAnsi="Arial" w:cs="Arial"/>
          <w:bCs/>
          <w:sz w:val="36"/>
          <w:szCs w:val="36"/>
        </w:rPr>
      </w:pPr>
      <w:r w:rsidRPr="00E10CE8">
        <w:rPr>
          <w:rFonts w:ascii="Arial" w:hAnsi="Arial" w:cs="Arial"/>
          <w:bCs/>
          <w:sz w:val="36"/>
          <w:szCs w:val="36"/>
        </w:rPr>
        <w:t xml:space="preserve">A second challenge is the conflict between competing agendas. Linking variable pay to office attendance and enforcing a five-day return-to-office policy (Business Standard, 2025) places the HRBP between a control-oriented business mandate and the employee-champion obligation to protect engagement and fairness. Deloitte (2013, p. 7) frames the effective partner as a “diplomat and negotiator” aligning business and HR agendas; Ibrahim (2015, p. 1) likewise identifies reconciling the two as a core barrier. When compensation is coupled to compliance, this alignment becomes not merely difficult </w:t>
      </w:r>
      <w:r w:rsidRPr="00E10CE8">
        <w:rPr>
          <w:rFonts w:ascii="Arial" w:hAnsi="Arial" w:cs="Arial"/>
          <w:bCs/>
          <w:sz w:val="36"/>
          <w:szCs w:val="36"/>
        </w:rPr>
        <w:lastRenderedPageBreak/>
        <w:t>but reputationally hazardous, demanding credibility the HRBP must already have earned.</w:t>
      </w:r>
    </w:p>
    <w:p w14:paraId="22799940" w14:textId="77777777" w:rsidR="00752A6A" w:rsidRPr="00E10CE8" w:rsidRDefault="00752A6A" w:rsidP="00E10CE8">
      <w:pPr>
        <w:spacing w:line="360" w:lineRule="auto"/>
        <w:jc w:val="both"/>
        <w:rPr>
          <w:rFonts w:ascii="Arial" w:hAnsi="Arial" w:cs="Arial"/>
          <w:bCs/>
          <w:sz w:val="36"/>
          <w:szCs w:val="36"/>
        </w:rPr>
      </w:pPr>
    </w:p>
    <w:p w14:paraId="2DF8E905" w14:textId="77777777" w:rsidR="00752A6A" w:rsidRPr="00E10CE8" w:rsidRDefault="00752A6A" w:rsidP="00E10CE8">
      <w:pPr>
        <w:spacing w:line="360" w:lineRule="auto"/>
        <w:jc w:val="both"/>
        <w:rPr>
          <w:rFonts w:ascii="Arial" w:hAnsi="Arial" w:cs="Arial"/>
          <w:bCs/>
          <w:sz w:val="36"/>
          <w:szCs w:val="36"/>
        </w:rPr>
      </w:pPr>
      <w:r w:rsidRPr="00E10CE8">
        <w:rPr>
          <w:rFonts w:ascii="Arial" w:hAnsi="Arial" w:cs="Arial"/>
          <w:bCs/>
          <w:sz w:val="36"/>
          <w:szCs w:val="36"/>
        </w:rPr>
        <w:t>Third, retention and capability present a compound problem. As discussed in [3], attrition near 13% is modest by sector standards but selective, concentrated in the scarce AI, cloud and digital skills TCS most needs. This mirrors Deloitte's (2013, p. 4) observation that lagging partners “require further support with developing critical business or HR skills,” and Ibrahim's (2015, p. 1) argument that weak synergy between HRM practices undermines partnering. The HRBP must diagnose these gaps analytically and convert them into workforce plans at a velocity the labour market rarely allows.</w:t>
      </w:r>
    </w:p>
    <w:p w14:paraId="41102435" w14:textId="77777777" w:rsidR="00752A6A" w:rsidRPr="00E10CE8" w:rsidRDefault="00752A6A" w:rsidP="00E10CE8">
      <w:pPr>
        <w:spacing w:line="360" w:lineRule="auto"/>
        <w:jc w:val="both"/>
        <w:rPr>
          <w:rFonts w:ascii="Arial" w:hAnsi="Arial" w:cs="Arial"/>
          <w:bCs/>
          <w:sz w:val="36"/>
          <w:szCs w:val="36"/>
        </w:rPr>
      </w:pPr>
    </w:p>
    <w:p w14:paraId="2349D25B" w14:textId="77777777" w:rsidR="00752A6A" w:rsidRPr="00E10CE8" w:rsidRDefault="00752A6A" w:rsidP="00E10CE8">
      <w:pPr>
        <w:spacing w:line="360" w:lineRule="auto"/>
        <w:jc w:val="both"/>
        <w:rPr>
          <w:rFonts w:ascii="Arial" w:hAnsi="Arial" w:cs="Arial"/>
          <w:bCs/>
          <w:sz w:val="36"/>
          <w:szCs w:val="36"/>
        </w:rPr>
      </w:pPr>
      <w:r w:rsidRPr="00E10CE8">
        <w:rPr>
          <w:rFonts w:ascii="Arial" w:hAnsi="Arial" w:cs="Arial"/>
          <w:bCs/>
          <w:sz w:val="36"/>
          <w:szCs w:val="36"/>
        </w:rPr>
        <w:t xml:space="preserve">Underlying all three is a structural barrier the literature repeatedly foregrounds: business knowledge and management support (Ibrahim, 2015, p. 1). Across 55-plus countries, inconsistent role definition and unclear handoffs with specialist and shared-services teams as a weakness Deloitte (2013, p. 4) explicitly flags which dilute </w:t>
      </w:r>
      <w:r w:rsidRPr="00E10CE8">
        <w:rPr>
          <w:rFonts w:ascii="Arial" w:hAnsi="Arial" w:cs="Arial"/>
          <w:bCs/>
          <w:sz w:val="36"/>
          <w:szCs w:val="36"/>
        </w:rPr>
        <w:lastRenderedPageBreak/>
        <w:t>the HRBP's legitimacy just when strategic influence matters most.</w:t>
      </w:r>
    </w:p>
    <w:p w14:paraId="6217C360" w14:textId="77777777" w:rsidR="00752A6A" w:rsidRPr="00E10CE8" w:rsidRDefault="00752A6A" w:rsidP="00E10CE8">
      <w:pPr>
        <w:spacing w:line="360" w:lineRule="auto"/>
        <w:jc w:val="both"/>
        <w:rPr>
          <w:rFonts w:ascii="Arial" w:hAnsi="Arial" w:cs="Arial"/>
          <w:bCs/>
          <w:sz w:val="36"/>
          <w:szCs w:val="36"/>
        </w:rPr>
      </w:pPr>
    </w:p>
    <w:p w14:paraId="44AF1D4E" w14:textId="77777777" w:rsidR="00752A6A" w:rsidRPr="00E10CE8" w:rsidRDefault="00752A6A" w:rsidP="00E10CE8">
      <w:pPr>
        <w:spacing w:line="360" w:lineRule="auto"/>
        <w:jc w:val="both"/>
        <w:rPr>
          <w:rFonts w:ascii="Arial" w:hAnsi="Arial" w:cs="Arial"/>
          <w:b/>
          <w:sz w:val="36"/>
          <w:szCs w:val="36"/>
          <w:u w:val="single"/>
        </w:rPr>
      </w:pPr>
      <w:r w:rsidRPr="00E10CE8">
        <w:rPr>
          <w:rFonts w:ascii="Arial" w:hAnsi="Arial" w:cs="Arial"/>
          <w:b/>
          <w:sz w:val="36"/>
          <w:szCs w:val="36"/>
          <w:u w:val="single"/>
        </w:rPr>
        <w:t>The skills and developmental needs:</w:t>
      </w:r>
    </w:p>
    <w:p w14:paraId="7097148F" w14:textId="033D55A0" w:rsidR="00752A6A" w:rsidRPr="00E10CE8" w:rsidRDefault="00752A6A" w:rsidP="00E10CE8">
      <w:pPr>
        <w:spacing w:line="360" w:lineRule="auto"/>
        <w:jc w:val="both"/>
        <w:rPr>
          <w:rFonts w:ascii="Arial" w:hAnsi="Arial" w:cs="Arial"/>
          <w:bCs/>
          <w:sz w:val="36"/>
          <w:szCs w:val="36"/>
        </w:rPr>
      </w:pPr>
      <w:r w:rsidRPr="00E10CE8">
        <w:rPr>
          <w:rFonts w:ascii="Arial" w:hAnsi="Arial" w:cs="Arial"/>
          <w:bCs/>
          <w:sz w:val="36"/>
          <w:szCs w:val="36"/>
        </w:rPr>
        <w:t>These challenges dictate the capabilities required. Deloitte (2013, p. 7) argues valuable partnering demands focus on strategic issues, a big-picture perspective, personal impact, credibility to influence decision-makers, and proven breadth of knowledge. For TCS, three needs are paramount: commercial and analytical literacy, since interpreting attrition and capability data is only credible if partners translate metrics into business narratives (Ibrahim, 2015, p. ii); change and consultation expertise, indispensable to a restructuring of this magnitude; and influencing and negotiation skill, without which contentious policies such as attendance-linked pay erode trust.</w:t>
      </w:r>
    </w:p>
    <w:p w14:paraId="2497F7F2" w14:textId="77777777" w:rsidR="00181804" w:rsidRPr="00E10CE8" w:rsidRDefault="00181804" w:rsidP="00E10CE8">
      <w:pPr>
        <w:spacing w:line="360" w:lineRule="auto"/>
        <w:jc w:val="both"/>
        <w:rPr>
          <w:rFonts w:ascii="Arial" w:hAnsi="Arial" w:cs="Arial"/>
          <w:bCs/>
          <w:sz w:val="36"/>
          <w:szCs w:val="36"/>
        </w:rPr>
      </w:pPr>
    </w:p>
    <w:p w14:paraId="6EFCB020" w14:textId="77777777" w:rsidR="00752A6A" w:rsidRPr="00E10CE8" w:rsidRDefault="00752A6A" w:rsidP="00E10CE8">
      <w:pPr>
        <w:spacing w:line="360" w:lineRule="auto"/>
        <w:jc w:val="both"/>
        <w:rPr>
          <w:rFonts w:ascii="Arial" w:hAnsi="Arial" w:cs="Arial"/>
          <w:bCs/>
          <w:sz w:val="36"/>
          <w:szCs w:val="36"/>
        </w:rPr>
      </w:pPr>
      <w:r w:rsidRPr="00E10CE8">
        <w:rPr>
          <w:rFonts w:ascii="Arial" w:hAnsi="Arial" w:cs="Arial"/>
          <w:bCs/>
          <w:sz w:val="36"/>
          <w:szCs w:val="36"/>
        </w:rPr>
        <w:t xml:space="preserve">Developmentally, TCS's headline investment, average learning hours exceeding 120 per employee, is workforce-wide and does not by itself build HRBP-specific capability. Deloitte's (2013, p. 17) client case is </w:t>
      </w:r>
      <w:r w:rsidRPr="00E10CE8">
        <w:rPr>
          <w:rFonts w:ascii="Arial" w:hAnsi="Arial" w:cs="Arial"/>
          <w:bCs/>
          <w:sz w:val="36"/>
          <w:szCs w:val="36"/>
        </w:rPr>
        <w:lastRenderedPageBreak/>
        <w:t>instructive: an organisation with 300 HRBPs serving 60,000 employees advanced its partners not through classroom training but through a business-focused competency framework, regional HRBP communities for knowledge-sharing, and mentoring-led, self-directed learning. TCS would be advised to adopt a comparably targeted approach; competency benchmarking and a partner community; rather than assume generic upskilling produces strategic partners.</w:t>
      </w:r>
    </w:p>
    <w:p w14:paraId="6EFDB754" w14:textId="77777777" w:rsidR="00752A6A" w:rsidRPr="00E10CE8" w:rsidRDefault="00752A6A" w:rsidP="00E10CE8">
      <w:pPr>
        <w:spacing w:line="360" w:lineRule="auto"/>
        <w:jc w:val="both"/>
        <w:rPr>
          <w:rFonts w:ascii="Arial" w:hAnsi="Arial" w:cs="Arial"/>
          <w:bCs/>
          <w:sz w:val="36"/>
          <w:szCs w:val="36"/>
        </w:rPr>
      </w:pPr>
    </w:p>
    <w:p w14:paraId="166F0D86" w14:textId="77777777" w:rsidR="00C77DE1" w:rsidRPr="00E10CE8" w:rsidRDefault="00752A6A" w:rsidP="00E10CE8">
      <w:pPr>
        <w:spacing w:line="360" w:lineRule="auto"/>
        <w:jc w:val="both"/>
        <w:rPr>
          <w:rFonts w:ascii="Arial" w:hAnsi="Arial" w:cs="Arial"/>
          <w:bCs/>
          <w:sz w:val="36"/>
          <w:szCs w:val="36"/>
        </w:rPr>
      </w:pPr>
      <w:r w:rsidRPr="00E10CE8">
        <w:rPr>
          <w:rFonts w:ascii="Arial" w:hAnsi="Arial" w:cs="Arial"/>
          <w:bCs/>
          <w:sz w:val="36"/>
          <w:szCs w:val="36"/>
        </w:rPr>
        <w:t>TCS has articulated a genuinely strategic HRBP role, yet scale, restructuring and control-oriented policies continually threaten to reduce it to transactional delivery. Realising the role's promise depends less on further generic training and more on deliberately cultivating the credibility, commercial insight and change capability that distinguish leading business partners from lagging ones.</w:t>
      </w:r>
    </w:p>
    <w:p w14:paraId="2684B0F5" w14:textId="77777777" w:rsidR="008717EA" w:rsidRPr="00E10CE8" w:rsidRDefault="008717EA" w:rsidP="00E10CE8">
      <w:pPr>
        <w:spacing w:line="360" w:lineRule="auto"/>
        <w:jc w:val="both"/>
        <w:rPr>
          <w:rFonts w:ascii="Arial" w:hAnsi="Arial" w:cs="Arial"/>
          <w:bCs/>
          <w:sz w:val="36"/>
          <w:szCs w:val="36"/>
        </w:rPr>
      </w:pPr>
    </w:p>
    <w:p w14:paraId="4B857D79" w14:textId="77777777" w:rsidR="0050304A" w:rsidRPr="001F67B8" w:rsidRDefault="00000000" w:rsidP="001F67B8">
      <w:pPr>
        <w:pStyle w:val="Heading1"/>
      </w:pPr>
      <w:r w:rsidRPr="001F67B8">
        <w:t>Conclusion</w:t>
      </w:r>
    </w:p>
    <w:p w14:paraId="3FC2A9E1"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sz w:val="36"/>
          <w:szCs w:val="36"/>
        </w:rPr>
        <w:t xml:space="preserve">TCS's HRM practices broadly align with its business strategy of becoming the world's leading AI-led technology and consulting partner, yet across every </w:t>
      </w:r>
      <w:r w:rsidRPr="00F1739E">
        <w:rPr>
          <w:rFonts w:ascii="Arial" w:hAnsi="Arial" w:cs="Arial"/>
          <w:sz w:val="36"/>
          <w:szCs w:val="36"/>
        </w:rPr>
        <w:lastRenderedPageBreak/>
        <w:t>function the analysis exposes one pattern: world-class HR design that repeatedly outruns demonstrable impact.</w:t>
      </w:r>
    </w:p>
    <w:p w14:paraId="29FBFED2"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sz w:val="36"/>
          <w:szCs w:val="36"/>
        </w:rPr>
        <w:t>Recruitment and selection support the innovation and global-scale strategy: the NQT, CodeVita and AI-enabled analytics stream technical talent at scale (Marler &amp; Boudreau, 2017), but a single standardised, AI-mediated gateway and heavy referral use narrow cognitive diversity and leave quality-of-hire unmeasured (Breaugh, 2013).</w:t>
      </w:r>
    </w:p>
    <w:p w14:paraId="654E213C" w14:textId="015DD5EA" w:rsidR="00F1739E" w:rsidRDefault="00000000" w:rsidP="00F1739E">
      <w:pPr>
        <w:spacing w:after="240" w:line="360" w:lineRule="auto"/>
        <w:jc w:val="both"/>
        <w:rPr>
          <w:rFonts w:ascii="Arial" w:hAnsi="Arial" w:cs="Arial"/>
          <w:sz w:val="36"/>
          <w:szCs w:val="36"/>
        </w:rPr>
      </w:pPr>
      <w:r w:rsidRPr="00F1739E">
        <w:rPr>
          <w:rFonts w:ascii="Arial" w:hAnsi="Arial" w:cs="Arial"/>
          <w:sz w:val="36"/>
          <w:szCs w:val="36"/>
        </w:rPr>
        <w:t>Training and development support the digital-transformation strategy, reskilling over 300,000 employees in AI and cloud (Armstrong &amp; Taylor, 2023; WEF, 2023); however, learning is evidenced through input metrics rather than Kirkpatrick (2016) Level 3–4 transfer or ROI, making TCS a world-class learning provider but not yet a demonstrable learning organisation.</w:t>
      </w:r>
    </w:p>
    <w:p w14:paraId="1061EB0E" w14:textId="77777777" w:rsidR="0050304A" w:rsidRDefault="00000000" w:rsidP="00F1739E">
      <w:pPr>
        <w:spacing w:line="360" w:lineRule="auto"/>
        <w:jc w:val="both"/>
        <w:rPr>
          <w:rFonts w:ascii="Arial" w:hAnsi="Arial" w:cs="Arial"/>
          <w:sz w:val="36"/>
          <w:szCs w:val="36"/>
        </w:rPr>
      </w:pPr>
      <w:r w:rsidRPr="00F1739E">
        <w:rPr>
          <w:rFonts w:ascii="Arial" w:hAnsi="Arial" w:cs="Arial"/>
          <w:sz w:val="36"/>
          <w:szCs w:val="36"/>
        </w:rPr>
        <w:t xml:space="preserve">Reward and performance practices support the retention and cost-competitiveness strategy by blending transactional and relational rewards (Armstrong &amp; Brown, 2019), yet the “industry-best” 87% retention claim rests on selective benchmarking and a 2.8/5 Glassdoor pay </w:t>
      </w:r>
      <w:r w:rsidRPr="00F1739E">
        <w:rPr>
          <w:rFonts w:ascii="Arial" w:hAnsi="Arial" w:cs="Arial"/>
          <w:sz w:val="36"/>
          <w:szCs w:val="36"/>
        </w:rPr>
        <w:lastRenderedPageBreak/>
        <w:t>score with unreliable variable pay weakens the effort–reward chain (Vroom, 1964; Adams, 1965).</w:t>
      </w:r>
    </w:p>
    <w:p w14:paraId="36AA6D70" w14:textId="77777777" w:rsidR="00F1739E" w:rsidRPr="00F1739E" w:rsidRDefault="00F1739E" w:rsidP="00F1739E">
      <w:pPr>
        <w:spacing w:line="360" w:lineRule="auto"/>
        <w:jc w:val="both"/>
        <w:rPr>
          <w:rFonts w:ascii="Arial" w:hAnsi="Arial" w:cs="Arial"/>
          <w:sz w:val="36"/>
          <w:szCs w:val="36"/>
        </w:rPr>
      </w:pPr>
    </w:p>
    <w:p w14:paraId="178322CC" w14:textId="77777777" w:rsidR="0050304A" w:rsidRDefault="00000000" w:rsidP="00F1739E">
      <w:pPr>
        <w:spacing w:line="360" w:lineRule="auto"/>
        <w:jc w:val="both"/>
        <w:rPr>
          <w:rFonts w:ascii="Arial" w:hAnsi="Arial" w:cs="Arial"/>
          <w:sz w:val="36"/>
          <w:szCs w:val="36"/>
        </w:rPr>
      </w:pPr>
      <w:r w:rsidRPr="00F1739E">
        <w:rPr>
          <w:rFonts w:ascii="Arial" w:hAnsi="Arial" w:cs="Arial"/>
          <w:sz w:val="36"/>
          <w:szCs w:val="36"/>
        </w:rPr>
        <w:t>Engagement, participation and wellbeing support the future-ready-workforce strategy through TCS Cares and voice mechanisms (Guest, 2017), but top-down return-to-office rules, attendance-linked pay and monitoring suppress the autonomy and voice a positive psychological contract requires.</w:t>
      </w:r>
    </w:p>
    <w:p w14:paraId="6A0EB4AC" w14:textId="77777777" w:rsidR="00F1739E" w:rsidRPr="00F1739E" w:rsidRDefault="00F1739E" w:rsidP="00F1739E">
      <w:pPr>
        <w:spacing w:line="360" w:lineRule="auto"/>
        <w:jc w:val="both"/>
        <w:rPr>
          <w:rFonts w:ascii="Arial" w:hAnsi="Arial" w:cs="Arial"/>
          <w:sz w:val="36"/>
          <w:szCs w:val="36"/>
        </w:rPr>
      </w:pPr>
    </w:p>
    <w:p w14:paraId="1CDAB41E"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sz w:val="36"/>
          <w:szCs w:val="36"/>
        </w:rPr>
        <w:t>Diversity and inclusion support the internationalisation and market strategy by framing 150 nationalities as a source of innovation (TCS, n.d.-f); yet limited psychological safety and predominantly Indian senior leadership, reinforced by high Power Distance (Hofstede Insights, n.d.), constrain the financial premium diversity promises (McKinsey &amp; Company, 2023).</w:t>
      </w:r>
    </w:p>
    <w:p w14:paraId="0D3CABBB" w14:textId="77777777" w:rsidR="0050304A" w:rsidRDefault="00000000" w:rsidP="00F1739E">
      <w:pPr>
        <w:spacing w:line="360" w:lineRule="auto"/>
        <w:jc w:val="both"/>
        <w:rPr>
          <w:rFonts w:ascii="Arial" w:hAnsi="Arial" w:cs="Arial"/>
          <w:sz w:val="36"/>
          <w:szCs w:val="36"/>
        </w:rPr>
      </w:pPr>
      <w:r w:rsidRPr="00F1739E">
        <w:rPr>
          <w:rFonts w:ascii="Arial" w:hAnsi="Arial" w:cs="Arial"/>
          <w:sz w:val="36"/>
          <w:szCs w:val="36"/>
        </w:rPr>
        <w:t>The HRBP function is the connective tissue delivering these agendas, but scale and a 12,000-role restructuring risk collapsing strategic partnering into transactional processing (Deloitte, 2013).</w:t>
      </w:r>
    </w:p>
    <w:p w14:paraId="2475661B" w14:textId="77777777" w:rsidR="00F1739E" w:rsidRPr="00F1739E" w:rsidRDefault="00F1739E" w:rsidP="00F1739E">
      <w:pPr>
        <w:spacing w:line="360" w:lineRule="auto"/>
        <w:jc w:val="both"/>
        <w:rPr>
          <w:rFonts w:ascii="Arial" w:hAnsi="Arial" w:cs="Arial"/>
          <w:sz w:val="36"/>
          <w:szCs w:val="36"/>
        </w:rPr>
      </w:pPr>
    </w:p>
    <w:p w14:paraId="6B94EDB0"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sz w:val="36"/>
          <w:szCs w:val="36"/>
        </w:rPr>
        <w:lastRenderedPageBreak/>
        <w:t>Hence TCS holds genuine, protectable assets in scale, systems and design maturity, but faces one systemic vulnerability: an evidence-and-alignment gap between its employee-centred values and cost-driven practice. TCS is therefore not failing but under-proving.</w:t>
      </w:r>
    </w:p>
    <w:p w14:paraId="03691A30" w14:textId="77777777" w:rsidR="0050304A" w:rsidRPr="00F1739E" w:rsidRDefault="00000000" w:rsidP="00F1739E">
      <w:pPr>
        <w:pStyle w:val="Heading1"/>
      </w:pPr>
      <w:bookmarkStart w:id="7" w:name="_Toc236867893"/>
      <w:r w:rsidRPr="00F1739E">
        <w:t>Recommendations</w:t>
      </w:r>
      <w:bookmarkEnd w:id="7"/>
    </w:p>
    <w:p w14:paraId="4B6F6116" w14:textId="77777777" w:rsidR="0050304A" w:rsidRDefault="00000000" w:rsidP="00F1739E">
      <w:pPr>
        <w:spacing w:line="360" w:lineRule="auto"/>
        <w:jc w:val="both"/>
        <w:rPr>
          <w:rFonts w:ascii="Arial" w:hAnsi="Arial" w:cs="Arial"/>
          <w:sz w:val="36"/>
          <w:szCs w:val="36"/>
        </w:rPr>
      </w:pPr>
      <w:r w:rsidRPr="00F1739E">
        <w:rPr>
          <w:rFonts w:ascii="Arial" w:hAnsi="Arial" w:cs="Arial"/>
          <w:sz w:val="36"/>
          <w:szCs w:val="36"/>
        </w:rPr>
        <w:t>These recommendations form an integrated system addressing the single root cause: the gap between HR design and demonstrable impact.</w:t>
      </w:r>
    </w:p>
    <w:p w14:paraId="1E376D99" w14:textId="77777777" w:rsidR="00F1739E" w:rsidRPr="00F1739E" w:rsidRDefault="00F1739E" w:rsidP="00F1739E">
      <w:pPr>
        <w:spacing w:line="360" w:lineRule="auto"/>
        <w:jc w:val="both"/>
        <w:rPr>
          <w:rFonts w:ascii="Arial" w:hAnsi="Arial" w:cs="Arial"/>
          <w:sz w:val="36"/>
          <w:szCs w:val="36"/>
        </w:rPr>
      </w:pPr>
    </w:p>
    <w:p w14:paraId="0AEC7544" w14:textId="67263E7C" w:rsidR="0050304A" w:rsidRPr="00F1739E" w:rsidRDefault="00000000" w:rsidP="00F1739E">
      <w:pPr>
        <w:pStyle w:val="ListParagraph"/>
        <w:numPr>
          <w:ilvl w:val="0"/>
          <w:numId w:val="3"/>
        </w:numPr>
        <w:jc w:val="both"/>
        <w:rPr>
          <w:rFonts w:cs="Arial"/>
          <w:sz w:val="36"/>
          <w:szCs w:val="36"/>
        </w:rPr>
      </w:pPr>
      <w:r w:rsidRPr="00F1739E">
        <w:rPr>
          <w:rFonts w:cs="Arial"/>
          <w:b/>
          <w:sz w:val="36"/>
          <w:szCs w:val="36"/>
        </w:rPr>
        <w:t>Institute an outcome-based HR measurement architecture</w:t>
      </w:r>
    </w:p>
    <w:p w14:paraId="2C5B773D"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Problem identified: </w:t>
      </w:r>
      <w:r w:rsidRPr="00F1739E">
        <w:rPr>
          <w:rFonts w:ascii="Arial" w:hAnsi="Arial" w:cs="Arial"/>
          <w:sz w:val="36"/>
          <w:szCs w:val="36"/>
        </w:rPr>
        <w:t>Input-rich reporting cannot prove impact.</w:t>
      </w:r>
    </w:p>
    <w:p w14:paraId="4BFA2837"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Recommendation: </w:t>
      </w:r>
      <w:r w:rsidRPr="00F1739E">
        <w:rPr>
          <w:rFonts w:ascii="Arial" w:hAnsi="Arial" w:cs="Arial"/>
          <w:sz w:val="36"/>
          <w:szCs w:val="36"/>
        </w:rPr>
        <w:t>Embed Kirkpatrick Level 3–4 evaluation, quality-of-hire and selection-ROI metrics, and people-analytics dashboards linking attrition, engagement and capability to business KPIs.</w:t>
      </w:r>
    </w:p>
    <w:p w14:paraId="56E5A3A4" w14:textId="77777777" w:rsidR="0050304A"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Strategic justification: </w:t>
      </w:r>
      <w:r w:rsidRPr="00F1739E">
        <w:rPr>
          <w:rFonts w:ascii="Arial" w:hAnsi="Arial" w:cs="Arial"/>
          <w:sz w:val="36"/>
          <w:szCs w:val="36"/>
        </w:rPr>
        <w:t xml:space="preserve">Kirkpatrick and Kirkpatrick (2016) require evidence that HR changes behaviour and </w:t>
      </w:r>
      <w:r w:rsidRPr="00F1739E">
        <w:rPr>
          <w:rFonts w:ascii="Arial" w:hAnsi="Arial" w:cs="Arial"/>
          <w:sz w:val="36"/>
          <w:szCs w:val="36"/>
        </w:rPr>
        <w:lastRenderedPageBreak/>
        <w:t>business performance, restoring board confidence and enabling strategic reinvestment.</w:t>
      </w:r>
    </w:p>
    <w:p w14:paraId="394DBE90" w14:textId="77777777" w:rsidR="00F1739E" w:rsidRPr="00F1739E" w:rsidRDefault="00F1739E" w:rsidP="00F1739E">
      <w:pPr>
        <w:spacing w:line="360" w:lineRule="auto"/>
        <w:jc w:val="both"/>
        <w:rPr>
          <w:rFonts w:ascii="Arial" w:hAnsi="Arial" w:cs="Arial"/>
          <w:sz w:val="36"/>
          <w:szCs w:val="36"/>
        </w:rPr>
      </w:pPr>
    </w:p>
    <w:p w14:paraId="42C3A65E" w14:textId="062F59A7" w:rsidR="0050304A" w:rsidRPr="00F1739E" w:rsidRDefault="00000000" w:rsidP="00F1739E">
      <w:pPr>
        <w:pStyle w:val="ListParagraph"/>
        <w:numPr>
          <w:ilvl w:val="0"/>
          <w:numId w:val="3"/>
        </w:numPr>
        <w:jc w:val="both"/>
        <w:rPr>
          <w:rFonts w:cs="Arial"/>
          <w:sz w:val="36"/>
          <w:szCs w:val="36"/>
        </w:rPr>
      </w:pPr>
      <w:r w:rsidRPr="00F1739E">
        <w:rPr>
          <w:rFonts w:cs="Arial"/>
          <w:b/>
          <w:sz w:val="36"/>
          <w:szCs w:val="36"/>
        </w:rPr>
        <w:t>Rebalance efficiency with validity and fairness in hiring</w:t>
      </w:r>
    </w:p>
    <w:p w14:paraId="66D22B2E"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Problem identified: </w:t>
      </w:r>
      <w:r w:rsidRPr="00F1739E">
        <w:rPr>
          <w:rFonts w:ascii="Arial" w:hAnsi="Arial" w:cs="Arial"/>
          <w:sz w:val="36"/>
          <w:szCs w:val="36"/>
        </w:rPr>
        <w:t>A single AI-mediated NQT gateway and referral reliance narrow diversity.</w:t>
      </w:r>
    </w:p>
    <w:p w14:paraId="27CF650B"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Recommendation: </w:t>
      </w:r>
      <w:r w:rsidRPr="00F1739E">
        <w:rPr>
          <w:rFonts w:ascii="Arial" w:hAnsi="Arial" w:cs="Arial"/>
          <w:sz w:val="36"/>
          <w:szCs w:val="36"/>
        </w:rPr>
        <w:t>Sequence the NQT as a first filter, add work-sample and situational assessment for Prime and Digital roles, audit AI screening for adverse impact, and widen feeder institutions and the Rebegin returner pipeline.</w:t>
      </w:r>
    </w:p>
    <w:p w14:paraId="5A642EF6" w14:textId="77777777" w:rsidR="0050304A"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Strategic justification: </w:t>
      </w:r>
      <w:r w:rsidRPr="00F1739E">
        <w:rPr>
          <w:rFonts w:ascii="Arial" w:hAnsi="Arial" w:cs="Arial"/>
          <w:sz w:val="36"/>
          <w:szCs w:val="36"/>
        </w:rPr>
        <w:t>Person–organisation fit and bias governance protect quality-of-hire and employer brand (</w:t>
      </w:r>
      <w:proofErr w:type="spellStart"/>
      <w:r w:rsidRPr="00F1739E">
        <w:rPr>
          <w:rFonts w:ascii="Arial" w:hAnsi="Arial" w:cs="Arial"/>
          <w:sz w:val="36"/>
          <w:szCs w:val="36"/>
        </w:rPr>
        <w:t>Breaugh</w:t>
      </w:r>
      <w:proofErr w:type="spellEnd"/>
      <w:r w:rsidRPr="00F1739E">
        <w:rPr>
          <w:rFonts w:ascii="Arial" w:hAnsi="Arial" w:cs="Arial"/>
          <w:sz w:val="36"/>
          <w:szCs w:val="36"/>
        </w:rPr>
        <w:t xml:space="preserve">, 2013; </w:t>
      </w:r>
      <w:proofErr w:type="spellStart"/>
      <w:r w:rsidRPr="00F1739E">
        <w:rPr>
          <w:rFonts w:ascii="Arial" w:hAnsi="Arial" w:cs="Arial"/>
          <w:sz w:val="36"/>
          <w:szCs w:val="36"/>
        </w:rPr>
        <w:t>Kiradoo</w:t>
      </w:r>
      <w:proofErr w:type="spellEnd"/>
      <w:r w:rsidRPr="00F1739E">
        <w:rPr>
          <w:rFonts w:ascii="Arial" w:hAnsi="Arial" w:cs="Arial"/>
          <w:sz w:val="36"/>
          <w:szCs w:val="36"/>
        </w:rPr>
        <w:t>, 2022).</w:t>
      </w:r>
    </w:p>
    <w:p w14:paraId="3ACCCD23" w14:textId="77777777" w:rsidR="00F1739E" w:rsidRPr="00F1739E" w:rsidRDefault="00F1739E" w:rsidP="00F1739E">
      <w:pPr>
        <w:spacing w:line="360" w:lineRule="auto"/>
        <w:jc w:val="both"/>
        <w:rPr>
          <w:rFonts w:ascii="Arial" w:hAnsi="Arial" w:cs="Arial"/>
          <w:sz w:val="36"/>
          <w:szCs w:val="36"/>
        </w:rPr>
      </w:pPr>
    </w:p>
    <w:p w14:paraId="506A76A6" w14:textId="59C2C2AC" w:rsidR="0050304A" w:rsidRPr="00F1739E" w:rsidRDefault="00000000" w:rsidP="00F1739E">
      <w:pPr>
        <w:pStyle w:val="ListParagraph"/>
        <w:numPr>
          <w:ilvl w:val="0"/>
          <w:numId w:val="3"/>
        </w:numPr>
        <w:jc w:val="both"/>
        <w:rPr>
          <w:rFonts w:cs="Arial"/>
          <w:sz w:val="36"/>
          <w:szCs w:val="36"/>
        </w:rPr>
      </w:pPr>
      <w:r w:rsidRPr="00F1739E">
        <w:rPr>
          <w:rFonts w:cs="Arial"/>
          <w:b/>
          <w:sz w:val="36"/>
          <w:szCs w:val="36"/>
        </w:rPr>
        <w:t>Treat wellbeing and voice as strategic design inputs (creative)</w:t>
      </w:r>
    </w:p>
    <w:p w14:paraId="1F568BA2"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Problem identified: </w:t>
      </w:r>
      <w:r w:rsidRPr="00F1739E">
        <w:rPr>
          <w:rFonts w:ascii="Arial" w:hAnsi="Arial" w:cs="Arial"/>
          <w:sz w:val="36"/>
          <w:szCs w:val="36"/>
        </w:rPr>
        <w:t>Return-to-office rules, attendance-linked pay and surveillance erode autonomy.</w:t>
      </w:r>
    </w:p>
    <w:p w14:paraId="56378AB6"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Recommendation: </w:t>
      </w:r>
      <w:r w:rsidRPr="00F1739E">
        <w:rPr>
          <w:rFonts w:ascii="Arial" w:hAnsi="Arial" w:cs="Arial"/>
          <w:sz w:val="36"/>
          <w:szCs w:val="36"/>
        </w:rPr>
        <w:t xml:space="preserve">Pilot outcome-based performance management over time-based monitoring, negotiate </w:t>
      </w:r>
      <w:r w:rsidRPr="00F1739E">
        <w:rPr>
          <w:rFonts w:ascii="Arial" w:hAnsi="Arial" w:cs="Arial"/>
          <w:sz w:val="36"/>
          <w:szCs w:val="36"/>
        </w:rPr>
        <w:lastRenderedPageBreak/>
        <w:t>flexibility through genuine two-way consultation, and decouple variable pay from attendance.</w:t>
      </w:r>
    </w:p>
    <w:p w14:paraId="2BD13F2F" w14:textId="77777777" w:rsidR="0050304A"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Strategic justification: </w:t>
      </w:r>
      <w:r w:rsidRPr="00F1739E">
        <w:rPr>
          <w:rFonts w:ascii="Arial" w:hAnsi="Arial" w:cs="Arial"/>
          <w:sz w:val="36"/>
          <w:szCs w:val="36"/>
        </w:rPr>
        <w:t>Guest (2017) shows autonomy, voice and support sustain the psychological contract and engagement.</w:t>
      </w:r>
    </w:p>
    <w:p w14:paraId="6062E44F" w14:textId="77777777" w:rsidR="00F1739E" w:rsidRPr="00F1739E" w:rsidRDefault="00F1739E" w:rsidP="00F1739E">
      <w:pPr>
        <w:spacing w:line="360" w:lineRule="auto"/>
        <w:jc w:val="both"/>
        <w:rPr>
          <w:rFonts w:ascii="Arial" w:hAnsi="Arial" w:cs="Arial"/>
          <w:sz w:val="36"/>
          <w:szCs w:val="36"/>
        </w:rPr>
      </w:pPr>
    </w:p>
    <w:p w14:paraId="1571CA77" w14:textId="594F4C95" w:rsidR="0050304A" w:rsidRPr="00F1739E" w:rsidRDefault="00000000" w:rsidP="00F1739E">
      <w:pPr>
        <w:pStyle w:val="ListParagraph"/>
        <w:numPr>
          <w:ilvl w:val="0"/>
          <w:numId w:val="3"/>
        </w:numPr>
        <w:jc w:val="both"/>
        <w:rPr>
          <w:rFonts w:cs="Arial"/>
          <w:sz w:val="36"/>
          <w:szCs w:val="36"/>
        </w:rPr>
      </w:pPr>
      <w:r w:rsidRPr="00F1739E">
        <w:rPr>
          <w:rFonts w:cs="Arial"/>
          <w:b/>
          <w:sz w:val="36"/>
          <w:szCs w:val="36"/>
        </w:rPr>
        <w:t>Localise DEI and deliberately globalise leadership</w:t>
      </w:r>
    </w:p>
    <w:p w14:paraId="4970E948"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Problem identified: </w:t>
      </w:r>
      <w:r w:rsidRPr="00F1739E">
        <w:rPr>
          <w:rFonts w:ascii="Arial" w:hAnsi="Arial" w:cs="Arial"/>
          <w:sz w:val="36"/>
          <w:szCs w:val="36"/>
        </w:rPr>
        <w:t>Homogeneous, top-down senior leadership.</w:t>
      </w:r>
    </w:p>
    <w:p w14:paraId="0BB255E3"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Recommendation: </w:t>
      </w:r>
      <w:r w:rsidRPr="00F1739E">
        <w:rPr>
          <w:rFonts w:ascii="Arial" w:hAnsi="Arial" w:cs="Arial"/>
          <w:sz w:val="36"/>
          <w:szCs w:val="36"/>
        </w:rPr>
        <w:t>Build international leadership pipelines mirroring the Indian campus model, set measurable executive-diversity targets, and adapt inclusion programmes to local cultures.</w:t>
      </w:r>
    </w:p>
    <w:p w14:paraId="53959A10" w14:textId="77777777" w:rsidR="0050304A"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Strategic justification: </w:t>
      </w:r>
      <w:r w:rsidRPr="00F1739E">
        <w:rPr>
          <w:rFonts w:ascii="Arial" w:hAnsi="Arial" w:cs="Arial"/>
          <w:sz w:val="36"/>
          <w:szCs w:val="36"/>
        </w:rPr>
        <w:t>McKinsey and Company (2023) links executive diversity to financial outperformance.</w:t>
      </w:r>
    </w:p>
    <w:p w14:paraId="0C46DC26" w14:textId="77777777" w:rsidR="00F1739E" w:rsidRPr="00F1739E" w:rsidRDefault="00F1739E" w:rsidP="00F1739E">
      <w:pPr>
        <w:spacing w:line="360" w:lineRule="auto"/>
        <w:jc w:val="both"/>
        <w:rPr>
          <w:rFonts w:ascii="Arial" w:hAnsi="Arial" w:cs="Arial"/>
          <w:sz w:val="36"/>
          <w:szCs w:val="36"/>
        </w:rPr>
      </w:pPr>
    </w:p>
    <w:p w14:paraId="2D444549" w14:textId="6AAE6C8C" w:rsidR="0050304A" w:rsidRPr="00F1739E" w:rsidRDefault="00000000" w:rsidP="00F1739E">
      <w:pPr>
        <w:pStyle w:val="ListParagraph"/>
        <w:numPr>
          <w:ilvl w:val="0"/>
          <w:numId w:val="3"/>
        </w:numPr>
        <w:jc w:val="both"/>
        <w:rPr>
          <w:rFonts w:cs="Arial"/>
          <w:sz w:val="36"/>
          <w:szCs w:val="36"/>
        </w:rPr>
      </w:pPr>
      <w:r w:rsidRPr="00F1739E">
        <w:rPr>
          <w:rFonts w:cs="Arial"/>
          <w:b/>
          <w:sz w:val="36"/>
          <w:szCs w:val="36"/>
        </w:rPr>
        <w:t>Build HRBP capability as connective tissue</w:t>
      </w:r>
    </w:p>
    <w:p w14:paraId="2F22C375"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Problem identified: </w:t>
      </w:r>
      <w:r w:rsidRPr="00F1739E">
        <w:rPr>
          <w:rFonts w:ascii="Arial" w:hAnsi="Arial" w:cs="Arial"/>
          <w:sz w:val="36"/>
          <w:szCs w:val="36"/>
        </w:rPr>
        <w:t>Scale threatens to reduce partners to administrators.</w:t>
      </w:r>
    </w:p>
    <w:p w14:paraId="63B13359" w14:textId="77777777" w:rsidR="0050304A" w:rsidRPr="00F1739E" w:rsidRDefault="00000000" w:rsidP="00F1739E">
      <w:pPr>
        <w:spacing w:line="360" w:lineRule="auto"/>
        <w:jc w:val="both"/>
        <w:rPr>
          <w:rFonts w:ascii="Arial" w:hAnsi="Arial" w:cs="Arial"/>
          <w:sz w:val="36"/>
          <w:szCs w:val="36"/>
        </w:rPr>
      </w:pPr>
      <w:r w:rsidRPr="00F1739E">
        <w:rPr>
          <w:rFonts w:ascii="Arial" w:hAnsi="Arial" w:cs="Arial"/>
          <w:b/>
          <w:sz w:val="36"/>
          <w:szCs w:val="36"/>
        </w:rPr>
        <w:t xml:space="preserve">Recommendation: </w:t>
      </w:r>
      <w:r w:rsidRPr="00F1739E">
        <w:rPr>
          <w:rFonts w:ascii="Arial" w:hAnsi="Arial" w:cs="Arial"/>
          <w:sz w:val="36"/>
          <w:szCs w:val="36"/>
        </w:rPr>
        <w:t xml:space="preserve">Introduce competency benchmarking, regional HRBP communities and </w:t>
      </w:r>
      <w:r w:rsidRPr="00F1739E">
        <w:rPr>
          <w:rFonts w:ascii="Arial" w:hAnsi="Arial" w:cs="Arial"/>
          <w:sz w:val="36"/>
          <w:szCs w:val="36"/>
        </w:rPr>
        <w:lastRenderedPageBreak/>
        <w:t>mentoring-led development in commercial, analytical and change-consultation skills.</w:t>
      </w:r>
    </w:p>
    <w:p w14:paraId="200BC0FD" w14:textId="77777777" w:rsidR="0050304A" w:rsidRPr="00F1739E" w:rsidRDefault="00000000" w:rsidP="00F1739E">
      <w:pPr>
        <w:spacing w:line="360" w:lineRule="auto"/>
        <w:jc w:val="both"/>
        <w:rPr>
          <w:rFonts w:ascii="Arial" w:hAnsi="Arial" w:cs="Arial"/>
          <w:sz w:val="36"/>
          <w:szCs w:val="36"/>
        </w:rPr>
      </w:pPr>
      <w:bookmarkStart w:id="8" w:name="_Toc236867892"/>
      <w:bookmarkEnd w:id="8"/>
      <w:r w:rsidRPr="00F1739E">
        <w:rPr>
          <w:rFonts w:ascii="Arial" w:hAnsi="Arial" w:cs="Arial"/>
          <w:b/>
          <w:sz w:val="36"/>
          <w:szCs w:val="36"/>
        </w:rPr>
        <w:t xml:space="preserve">Strategic justification: </w:t>
      </w:r>
      <w:r w:rsidRPr="00F1739E">
        <w:rPr>
          <w:rFonts w:ascii="Arial" w:hAnsi="Arial" w:cs="Arial"/>
          <w:sz w:val="36"/>
          <w:szCs w:val="36"/>
        </w:rPr>
        <w:t>Deloitte (2013) identifies these attributes as separating leading from lagging partners.</w:t>
      </w:r>
    </w:p>
    <w:p w14:paraId="7A360DD1" w14:textId="1FA46074" w:rsidR="00F24E28" w:rsidRPr="001F67B8" w:rsidRDefault="00F24E28" w:rsidP="001F67B8">
      <w:pPr>
        <w:pStyle w:val="Heading1"/>
      </w:pPr>
      <w:bookmarkStart w:id="9" w:name="_Toc236867894"/>
      <w:r w:rsidRPr="001F67B8">
        <w:t>Personal Reflection</w:t>
      </w:r>
      <w:bookmarkEnd w:id="9"/>
    </w:p>
    <w:p w14:paraId="4591BD84" w14:textId="51A65188" w:rsidR="00311817" w:rsidRPr="00311817" w:rsidRDefault="00311817" w:rsidP="00311817">
      <w:pPr>
        <w:spacing w:line="360" w:lineRule="auto"/>
        <w:jc w:val="both"/>
        <w:rPr>
          <w:rFonts w:ascii="Arial" w:hAnsi="Arial" w:cs="Arial"/>
          <w:sz w:val="36"/>
          <w:szCs w:val="36"/>
        </w:rPr>
      </w:pPr>
      <w:r w:rsidRPr="00311817">
        <w:rPr>
          <w:rFonts w:ascii="Arial" w:hAnsi="Arial" w:cs="Arial"/>
          <w:sz w:val="36"/>
          <w:szCs w:val="36"/>
        </w:rPr>
        <w:t>Through my part-time hospitality jobs, university projects, and my role as a student union school-representative, I had valuable opportunities to work within diverse teams throughout my university period. My "HR Strategy for TCS" report further sharpened my knowledge, showing me how a multinational company runs its operations through an HR lens</w:t>
      </w:r>
      <w:r>
        <w:rPr>
          <w:rFonts w:ascii="Arial" w:hAnsi="Arial" w:cs="Arial"/>
          <w:sz w:val="36"/>
          <w:szCs w:val="36"/>
        </w:rPr>
        <w:t>;</w:t>
      </w:r>
      <w:r w:rsidRPr="00311817">
        <w:rPr>
          <w:rFonts w:ascii="Arial" w:hAnsi="Arial" w:cs="Arial"/>
          <w:sz w:val="36"/>
          <w:szCs w:val="36"/>
        </w:rPr>
        <w:t xml:space="preserve"> from recruitment and selection through to development and engagement.</w:t>
      </w:r>
      <w:r w:rsidR="00B738AA">
        <w:rPr>
          <w:rFonts w:ascii="Arial" w:hAnsi="Arial" w:cs="Arial"/>
          <w:sz w:val="36"/>
          <w:szCs w:val="36"/>
        </w:rPr>
        <w:t xml:space="preserve"> </w:t>
      </w:r>
      <w:r w:rsidRPr="00311817">
        <w:rPr>
          <w:rFonts w:ascii="Arial" w:hAnsi="Arial" w:cs="Arial"/>
          <w:sz w:val="36"/>
          <w:szCs w:val="36"/>
        </w:rPr>
        <w:t>CIPD's Professional Map helped me examine my core knowledge, core behaviours, and specialist knowledge, where I found myself sitting between Foundation and Associate level (Table 4).</w:t>
      </w:r>
    </w:p>
    <w:p w14:paraId="0320451A" w14:textId="77777777" w:rsidR="00311817" w:rsidRPr="00311817" w:rsidRDefault="00311817" w:rsidP="00311817">
      <w:pPr>
        <w:spacing w:line="360" w:lineRule="auto"/>
        <w:jc w:val="both"/>
        <w:rPr>
          <w:rFonts w:ascii="Arial" w:hAnsi="Arial" w:cs="Arial"/>
          <w:sz w:val="36"/>
          <w:szCs w:val="36"/>
        </w:rPr>
      </w:pPr>
    </w:p>
    <w:p w14:paraId="480EEDE1" w14:textId="77777777" w:rsidR="00B738AA" w:rsidRPr="00B738AA" w:rsidRDefault="00311817" w:rsidP="00311817">
      <w:pPr>
        <w:spacing w:line="360" w:lineRule="auto"/>
        <w:jc w:val="both"/>
        <w:rPr>
          <w:rFonts w:ascii="Arial" w:hAnsi="Arial" w:cs="Arial"/>
          <w:b/>
          <w:bCs/>
          <w:sz w:val="36"/>
          <w:szCs w:val="36"/>
        </w:rPr>
      </w:pPr>
      <w:r w:rsidRPr="00B738AA">
        <w:rPr>
          <w:rFonts w:ascii="Arial" w:hAnsi="Arial" w:cs="Arial"/>
          <w:b/>
          <w:bCs/>
          <w:sz w:val="36"/>
          <w:szCs w:val="36"/>
        </w:rPr>
        <w:t>Strengths</w:t>
      </w:r>
      <w:r w:rsidR="00B738AA" w:rsidRPr="00B738AA">
        <w:rPr>
          <w:rFonts w:ascii="Arial" w:hAnsi="Arial" w:cs="Arial"/>
          <w:b/>
          <w:bCs/>
          <w:sz w:val="36"/>
          <w:szCs w:val="36"/>
        </w:rPr>
        <w:t>:</w:t>
      </w:r>
    </w:p>
    <w:p w14:paraId="0807A940" w14:textId="17162826" w:rsidR="00311817" w:rsidRPr="00311817" w:rsidRDefault="00311817" w:rsidP="00311817">
      <w:pPr>
        <w:spacing w:line="360" w:lineRule="auto"/>
        <w:jc w:val="both"/>
        <w:rPr>
          <w:rFonts w:ascii="Arial" w:hAnsi="Arial" w:cs="Arial"/>
          <w:sz w:val="36"/>
          <w:szCs w:val="36"/>
        </w:rPr>
      </w:pPr>
      <w:r w:rsidRPr="00311817">
        <w:rPr>
          <w:rFonts w:ascii="Arial" w:hAnsi="Arial" w:cs="Arial"/>
          <w:sz w:val="36"/>
          <w:szCs w:val="36"/>
        </w:rPr>
        <w:t xml:space="preserve"> My strengths in well-being, employee lifecycle, enabling voice, reward, courage, and onboarding developed largely through my part-time work. I still remember </w:t>
      </w:r>
      <w:r w:rsidRPr="00311817">
        <w:rPr>
          <w:rFonts w:ascii="Arial" w:hAnsi="Arial" w:cs="Arial"/>
          <w:sz w:val="36"/>
          <w:szCs w:val="36"/>
        </w:rPr>
        <w:lastRenderedPageBreak/>
        <w:t>starting in hospitality and feeling how the intense pace and continuous delivery expectations affected my well-being; I learned to adapt to the team's culture, ask for help when needed, and resolve conflict constructively. I also strengthened my use of technology and evidence-based practice: I applied AI during university to research and summarise dense papers, and in hospitality I used the company's AI to prepare recipe summaries for customers, alongside PESTLE and SWOT frameworks in my projects. My stakeholder relationship and communication skills grew through my school-representative role, where continuous meetings and conversations with senior university members built my professional approach.</w:t>
      </w:r>
    </w:p>
    <w:p w14:paraId="28F4B593" w14:textId="77777777" w:rsidR="00311817" w:rsidRPr="00311817" w:rsidRDefault="00311817" w:rsidP="00311817">
      <w:pPr>
        <w:spacing w:line="360" w:lineRule="auto"/>
        <w:jc w:val="both"/>
        <w:rPr>
          <w:rFonts w:ascii="Arial" w:hAnsi="Arial" w:cs="Arial"/>
          <w:sz w:val="36"/>
          <w:szCs w:val="36"/>
        </w:rPr>
      </w:pPr>
    </w:p>
    <w:p w14:paraId="586D05B7" w14:textId="77777777" w:rsidR="00B738AA" w:rsidRDefault="00311817" w:rsidP="00311817">
      <w:pPr>
        <w:spacing w:line="360" w:lineRule="auto"/>
        <w:jc w:val="both"/>
        <w:rPr>
          <w:rFonts w:ascii="Arial" w:hAnsi="Arial" w:cs="Arial"/>
          <w:sz w:val="36"/>
          <w:szCs w:val="36"/>
        </w:rPr>
      </w:pPr>
      <w:r w:rsidRPr="00B738AA">
        <w:rPr>
          <w:rFonts w:ascii="Arial" w:hAnsi="Arial" w:cs="Arial"/>
          <w:b/>
          <w:bCs/>
          <w:sz w:val="36"/>
          <w:szCs w:val="36"/>
        </w:rPr>
        <w:t>Areas for improvement</w:t>
      </w:r>
      <w:r w:rsidR="00B738AA">
        <w:rPr>
          <w:rFonts w:ascii="Arial" w:hAnsi="Arial" w:cs="Arial"/>
          <w:sz w:val="36"/>
          <w:szCs w:val="36"/>
        </w:rPr>
        <w:t>:</w:t>
      </w:r>
    </w:p>
    <w:p w14:paraId="4EE69126" w14:textId="694B954A" w:rsidR="00311817" w:rsidRPr="00311817" w:rsidRDefault="00311817" w:rsidP="00311817">
      <w:pPr>
        <w:spacing w:line="360" w:lineRule="auto"/>
        <w:jc w:val="both"/>
        <w:rPr>
          <w:rFonts w:ascii="Arial" w:hAnsi="Arial" w:cs="Arial"/>
          <w:sz w:val="36"/>
          <w:szCs w:val="36"/>
        </w:rPr>
      </w:pPr>
      <w:r w:rsidRPr="00311817">
        <w:rPr>
          <w:rFonts w:ascii="Arial" w:hAnsi="Arial" w:cs="Arial"/>
          <w:sz w:val="36"/>
          <w:szCs w:val="36"/>
        </w:rPr>
        <w:t xml:space="preserve">I </w:t>
      </w:r>
      <w:r w:rsidR="00B738AA" w:rsidRPr="00B738AA">
        <w:rPr>
          <w:rFonts w:ascii="Arial" w:hAnsi="Arial" w:cs="Arial"/>
          <w:sz w:val="36"/>
          <w:szCs w:val="36"/>
        </w:rPr>
        <w:t xml:space="preserve">Across the map I can see several areas to develop as I move from Foundation towards Associate level. Within people practice, I still find skills assessment and performance management approaches challenging — understanding exactly which outcomes are measured and how, which varied significantly between hospitality </w:t>
      </w:r>
      <w:r w:rsidR="00B738AA" w:rsidRPr="00B738AA">
        <w:rPr>
          <w:rFonts w:ascii="Arial" w:hAnsi="Arial" w:cs="Arial"/>
          <w:sz w:val="36"/>
          <w:szCs w:val="36"/>
        </w:rPr>
        <w:lastRenderedPageBreak/>
        <w:t xml:space="preserve">and my other settings. In people analytics, I need to strengthen research design and data analysis so I can evidence my contributions more rigorously. Under situational decision-making, I want to improve my decision-making in fast-changing environments rather than reacting under pressure. In commercial drive, building financial acumen would help me connect HR activity to business value, and change highlighted the need to develop business case and project management skills. Finally, employee relations pointed to gaps in my understanding of the legal system and </w:t>
      </w:r>
      <w:proofErr w:type="gramStart"/>
      <w:r w:rsidR="00B738AA" w:rsidRPr="00B738AA">
        <w:rPr>
          <w:rFonts w:ascii="Arial" w:hAnsi="Arial" w:cs="Arial"/>
          <w:sz w:val="36"/>
          <w:szCs w:val="36"/>
        </w:rPr>
        <w:t>negotiation, and</w:t>
      </w:r>
      <w:proofErr w:type="gramEnd"/>
      <w:r w:rsidR="00B738AA" w:rsidRPr="00B738AA">
        <w:rPr>
          <w:rFonts w:ascii="Arial" w:hAnsi="Arial" w:cs="Arial"/>
          <w:sz w:val="36"/>
          <w:szCs w:val="36"/>
        </w:rPr>
        <w:t xml:space="preserve"> learning and development showed I should ground my practice in adult learning theories.</w:t>
      </w:r>
    </w:p>
    <w:p w14:paraId="7E5B37B4" w14:textId="77777777" w:rsidR="00311817" w:rsidRPr="00311817" w:rsidRDefault="00311817" w:rsidP="00311817">
      <w:pPr>
        <w:spacing w:line="360" w:lineRule="auto"/>
        <w:jc w:val="both"/>
        <w:rPr>
          <w:rFonts w:ascii="Arial" w:hAnsi="Arial" w:cs="Arial"/>
          <w:sz w:val="36"/>
          <w:szCs w:val="36"/>
        </w:rPr>
      </w:pPr>
    </w:p>
    <w:p w14:paraId="70E48CEB" w14:textId="0C74F545" w:rsidR="00311817" w:rsidRDefault="00311817" w:rsidP="00311817">
      <w:pPr>
        <w:spacing w:line="360" w:lineRule="auto"/>
        <w:jc w:val="both"/>
        <w:rPr>
          <w:rFonts w:ascii="Arial" w:hAnsi="Arial" w:cs="Arial"/>
          <w:sz w:val="36"/>
          <w:szCs w:val="36"/>
        </w:rPr>
      </w:pPr>
      <w:r w:rsidRPr="00311817">
        <w:rPr>
          <w:rFonts w:ascii="Arial" w:hAnsi="Arial" w:cs="Arial"/>
          <w:sz w:val="36"/>
          <w:szCs w:val="36"/>
        </w:rPr>
        <w:t>Overall, I feel ready for Foundation, entry-level work, while recognising the few areas I need to sharpen to build a solid foundation for the next lev</w:t>
      </w:r>
    </w:p>
    <w:p w14:paraId="74F55349" w14:textId="6BC9C564" w:rsidR="00311817" w:rsidRPr="00E10CE8" w:rsidRDefault="00311817" w:rsidP="00E10CE8">
      <w:pPr>
        <w:spacing w:line="360" w:lineRule="auto"/>
        <w:jc w:val="both"/>
        <w:rPr>
          <w:rFonts w:ascii="Arial" w:hAnsi="Arial" w:cs="Arial"/>
          <w:sz w:val="36"/>
          <w:szCs w:val="36"/>
        </w:rPr>
      </w:pPr>
    </w:p>
    <w:tbl>
      <w:tblPr>
        <w:tblW w:w="0" w:type="auto"/>
        <w:tblLayout w:type="fixed"/>
        <w:tblLook w:val="04A0" w:firstRow="1" w:lastRow="0" w:firstColumn="1" w:lastColumn="0" w:noHBand="0" w:noVBand="1"/>
      </w:tblPr>
      <w:tblGrid>
        <w:gridCol w:w="988"/>
        <w:gridCol w:w="2835"/>
        <w:gridCol w:w="2937"/>
        <w:gridCol w:w="2250"/>
      </w:tblGrid>
      <w:tr w:rsidR="00453770" w:rsidRPr="00E10CE8" w14:paraId="5C15B0F8" w14:textId="77777777" w:rsidTr="003B6EF3">
        <w:trPr>
          <w:trHeight w:val="780"/>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2B225AA7" w14:textId="77777777" w:rsidR="00453770" w:rsidRPr="00E10CE8" w:rsidRDefault="00453770" w:rsidP="00E10CE8">
            <w:pPr>
              <w:spacing w:line="360" w:lineRule="auto"/>
              <w:rPr>
                <w:rFonts w:ascii="Arial" w:hAnsi="Arial" w:cs="Arial"/>
                <w:b/>
                <w:bCs/>
                <w:color w:val="000000"/>
                <w:sz w:val="36"/>
                <w:szCs w:val="36"/>
              </w:rPr>
            </w:pPr>
            <w:r w:rsidRPr="00E10CE8">
              <w:rPr>
                <w:rFonts w:ascii="Arial" w:hAnsi="Arial" w:cs="Arial"/>
                <w:b/>
                <w:bCs/>
                <w:color w:val="000000"/>
                <w:sz w:val="36"/>
                <w:szCs w:val="36"/>
              </w:rPr>
              <w:t>Areas</w:t>
            </w:r>
          </w:p>
        </w:tc>
        <w:tc>
          <w:tcPr>
            <w:tcW w:w="2835" w:type="dxa"/>
            <w:tcBorders>
              <w:top w:val="single" w:sz="4" w:space="0" w:color="auto"/>
              <w:left w:val="nil"/>
              <w:bottom w:val="single" w:sz="4" w:space="0" w:color="auto"/>
              <w:right w:val="single" w:sz="4" w:space="0" w:color="auto"/>
            </w:tcBorders>
            <w:noWrap/>
            <w:vAlign w:val="bottom"/>
            <w:hideMark/>
          </w:tcPr>
          <w:p w14:paraId="5FFC7835" w14:textId="68CD8A53" w:rsidR="00453770" w:rsidRPr="00E10CE8" w:rsidRDefault="00453770" w:rsidP="00E10CE8">
            <w:pPr>
              <w:spacing w:line="360" w:lineRule="auto"/>
              <w:rPr>
                <w:rFonts w:ascii="Arial" w:hAnsi="Arial" w:cs="Arial"/>
                <w:b/>
                <w:bCs/>
                <w:color w:val="000000"/>
                <w:sz w:val="36"/>
                <w:szCs w:val="36"/>
              </w:rPr>
            </w:pPr>
            <w:r w:rsidRPr="00E10CE8">
              <w:rPr>
                <w:rFonts w:ascii="Arial" w:hAnsi="Arial" w:cs="Arial"/>
                <w:b/>
                <w:bCs/>
                <w:color w:val="000000"/>
                <w:sz w:val="36"/>
                <w:szCs w:val="36"/>
              </w:rPr>
              <w:t>Sub-</w:t>
            </w:r>
            <w:r w:rsidR="003B6EF3" w:rsidRPr="00E10CE8">
              <w:rPr>
                <w:rFonts w:ascii="Arial" w:hAnsi="Arial" w:cs="Arial"/>
                <w:b/>
                <w:bCs/>
                <w:color w:val="000000"/>
                <w:sz w:val="36"/>
                <w:szCs w:val="36"/>
              </w:rPr>
              <w:t>Category</w:t>
            </w:r>
          </w:p>
        </w:tc>
        <w:tc>
          <w:tcPr>
            <w:tcW w:w="2937" w:type="dxa"/>
            <w:tcBorders>
              <w:top w:val="single" w:sz="4" w:space="0" w:color="auto"/>
              <w:left w:val="nil"/>
              <w:bottom w:val="single" w:sz="4" w:space="0" w:color="auto"/>
              <w:right w:val="single" w:sz="4" w:space="0" w:color="auto"/>
            </w:tcBorders>
            <w:vAlign w:val="center"/>
            <w:hideMark/>
          </w:tcPr>
          <w:p w14:paraId="739C644A" w14:textId="77777777" w:rsidR="00453770" w:rsidRPr="00E10CE8" w:rsidRDefault="00453770" w:rsidP="00E10CE8">
            <w:pPr>
              <w:spacing w:line="360" w:lineRule="auto"/>
              <w:jc w:val="center"/>
              <w:rPr>
                <w:rFonts w:ascii="Arial" w:hAnsi="Arial" w:cs="Arial"/>
                <w:b/>
                <w:bCs/>
                <w:color w:val="000000"/>
                <w:sz w:val="36"/>
                <w:szCs w:val="36"/>
              </w:rPr>
            </w:pPr>
            <w:r w:rsidRPr="00E10CE8">
              <w:rPr>
                <w:rFonts w:ascii="Arial" w:hAnsi="Arial" w:cs="Arial"/>
                <w:b/>
                <w:bCs/>
                <w:color w:val="000000"/>
                <w:sz w:val="36"/>
                <w:szCs w:val="36"/>
              </w:rPr>
              <w:t xml:space="preserve">Strength </w:t>
            </w:r>
          </w:p>
        </w:tc>
        <w:tc>
          <w:tcPr>
            <w:tcW w:w="2250" w:type="dxa"/>
            <w:tcBorders>
              <w:top w:val="single" w:sz="4" w:space="0" w:color="auto"/>
              <w:left w:val="nil"/>
              <w:bottom w:val="single" w:sz="4" w:space="0" w:color="auto"/>
              <w:right w:val="single" w:sz="4" w:space="0" w:color="auto"/>
            </w:tcBorders>
            <w:vAlign w:val="center"/>
            <w:hideMark/>
          </w:tcPr>
          <w:p w14:paraId="51C05F52" w14:textId="77777777" w:rsidR="00453770" w:rsidRPr="00E10CE8" w:rsidRDefault="00453770" w:rsidP="00E10CE8">
            <w:pPr>
              <w:spacing w:line="360" w:lineRule="auto"/>
              <w:jc w:val="center"/>
              <w:rPr>
                <w:rFonts w:ascii="Arial" w:hAnsi="Arial" w:cs="Arial"/>
                <w:b/>
                <w:bCs/>
                <w:color w:val="000000"/>
                <w:sz w:val="36"/>
                <w:szCs w:val="36"/>
              </w:rPr>
            </w:pPr>
            <w:r w:rsidRPr="00E10CE8">
              <w:rPr>
                <w:rFonts w:ascii="Arial" w:hAnsi="Arial" w:cs="Arial"/>
                <w:b/>
                <w:bCs/>
                <w:color w:val="000000"/>
                <w:sz w:val="36"/>
                <w:szCs w:val="36"/>
              </w:rPr>
              <w:t>Areas for improvement</w:t>
            </w:r>
          </w:p>
        </w:tc>
      </w:tr>
      <w:tr w:rsidR="00453770" w:rsidRPr="00E10CE8" w14:paraId="2D538525" w14:textId="77777777" w:rsidTr="003B6EF3">
        <w:trPr>
          <w:trHeight w:val="1020"/>
        </w:trPr>
        <w:tc>
          <w:tcPr>
            <w:tcW w:w="988" w:type="dxa"/>
            <w:vMerge w:val="restart"/>
            <w:tcBorders>
              <w:top w:val="nil"/>
              <w:left w:val="single" w:sz="4" w:space="0" w:color="auto"/>
              <w:bottom w:val="single" w:sz="4" w:space="0" w:color="auto"/>
              <w:right w:val="single" w:sz="4" w:space="0" w:color="auto"/>
            </w:tcBorders>
            <w:noWrap/>
            <w:textDirection w:val="btLr"/>
            <w:vAlign w:val="bottom"/>
            <w:hideMark/>
          </w:tcPr>
          <w:p w14:paraId="4732EE50" w14:textId="77777777" w:rsidR="00453770" w:rsidRPr="00E10CE8" w:rsidRDefault="00453770" w:rsidP="00E10CE8">
            <w:pPr>
              <w:spacing w:line="360" w:lineRule="auto"/>
              <w:ind w:left="113" w:right="113"/>
              <w:jc w:val="center"/>
              <w:rPr>
                <w:rFonts w:ascii="Arial" w:hAnsi="Arial" w:cs="Arial"/>
                <w:color w:val="000000"/>
                <w:sz w:val="36"/>
                <w:szCs w:val="36"/>
              </w:rPr>
            </w:pPr>
            <w:r w:rsidRPr="00E10CE8">
              <w:rPr>
                <w:rFonts w:ascii="Arial" w:hAnsi="Arial" w:cs="Arial"/>
                <w:color w:val="000000"/>
                <w:sz w:val="36"/>
                <w:szCs w:val="36"/>
              </w:rPr>
              <w:lastRenderedPageBreak/>
              <w:t>Core Knowledge</w:t>
            </w:r>
          </w:p>
        </w:tc>
        <w:tc>
          <w:tcPr>
            <w:tcW w:w="2835" w:type="dxa"/>
            <w:tcBorders>
              <w:top w:val="nil"/>
              <w:left w:val="nil"/>
              <w:bottom w:val="single" w:sz="4" w:space="0" w:color="auto"/>
              <w:right w:val="single" w:sz="4" w:space="0" w:color="auto"/>
            </w:tcBorders>
            <w:noWrap/>
            <w:vAlign w:val="center"/>
            <w:hideMark/>
          </w:tcPr>
          <w:p w14:paraId="07ED5333"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People practice</w:t>
            </w:r>
          </w:p>
        </w:tc>
        <w:tc>
          <w:tcPr>
            <w:tcW w:w="2937" w:type="dxa"/>
            <w:tcBorders>
              <w:top w:val="nil"/>
              <w:left w:val="nil"/>
              <w:bottom w:val="single" w:sz="4" w:space="0" w:color="auto"/>
              <w:right w:val="single" w:sz="4" w:space="0" w:color="auto"/>
            </w:tcBorders>
            <w:vAlign w:val="center"/>
            <w:hideMark/>
          </w:tcPr>
          <w:p w14:paraId="369D80BA"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employee lifecycle, law/regulation related to work, well-being, EDI, working flexibility</w:t>
            </w:r>
          </w:p>
        </w:tc>
        <w:tc>
          <w:tcPr>
            <w:tcW w:w="2250" w:type="dxa"/>
            <w:tcBorders>
              <w:top w:val="nil"/>
              <w:left w:val="nil"/>
              <w:bottom w:val="single" w:sz="4" w:space="0" w:color="auto"/>
              <w:right w:val="single" w:sz="4" w:space="0" w:color="auto"/>
            </w:tcBorders>
            <w:vAlign w:val="center"/>
            <w:hideMark/>
          </w:tcPr>
          <w:p w14:paraId="5360380F" w14:textId="30483ACF"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xml:space="preserve">skills </w:t>
            </w:r>
            <w:r w:rsidR="003B6EF3" w:rsidRPr="00E10CE8">
              <w:rPr>
                <w:rFonts w:ascii="Arial" w:hAnsi="Arial" w:cs="Arial"/>
                <w:color w:val="000000"/>
                <w:sz w:val="36"/>
                <w:szCs w:val="36"/>
              </w:rPr>
              <w:t>assessment</w:t>
            </w:r>
            <w:r w:rsidRPr="00E10CE8">
              <w:rPr>
                <w:rFonts w:ascii="Arial" w:hAnsi="Arial" w:cs="Arial"/>
                <w:color w:val="000000"/>
                <w:sz w:val="36"/>
                <w:szCs w:val="36"/>
              </w:rPr>
              <w:t xml:space="preserve">/performance </w:t>
            </w:r>
            <w:r w:rsidR="003B6EF3" w:rsidRPr="00E10CE8">
              <w:rPr>
                <w:rFonts w:ascii="Arial" w:hAnsi="Arial" w:cs="Arial"/>
                <w:color w:val="000000"/>
                <w:sz w:val="36"/>
                <w:szCs w:val="36"/>
              </w:rPr>
              <w:t>management</w:t>
            </w:r>
            <w:r w:rsidRPr="00E10CE8">
              <w:rPr>
                <w:rFonts w:ascii="Arial" w:hAnsi="Arial" w:cs="Arial"/>
                <w:color w:val="000000"/>
                <w:sz w:val="36"/>
                <w:szCs w:val="36"/>
              </w:rPr>
              <w:t xml:space="preserve"> approaches</w:t>
            </w:r>
          </w:p>
        </w:tc>
      </w:tr>
      <w:tr w:rsidR="00453770" w:rsidRPr="00E10CE8" w14:paraId="56F570B8" w14:textId="77777777" w:rsidTr="003B6EF3">
        <w:trPr>
          <w:trHeight w:val="680"/>
        </w:trPr>
        <w:tc>
          <w:tcPr>
            <w:tcW w:w="988" w:type="dxa"/>
            <w:vMerge/>
            <w:tcBorders>
              <w:top w:val="nil"/>
              <w:left w:val="single" w:sz="4" w:space="0" w:color="auto"/>
              <w:bottom w:val="single" w:sz="4" w:space="0" w:color="auto"/>
              <w:right w:val="single" w:sz="4" w:space="0" w:color="auto"/>
            </w:tcBorders>
            <w:vAlign w:val="center"/>
            <w:hideMark/>
          </w:tcPr>
          <w:p w14:paraId="7827B348"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2615BF01"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Culture and behaviour</w:t>
            </w:r>
          </w:p>
        </w:tc>
        <w:tc>
          <w:tcPr>
            <w:tcW w:w="2937" w:type="dxa"/>
            <w:tcBorders>
              <w:top w:val="nil"/>
              <w:left w:val="nil"/>
              <w:bottom w:val="single" w:sz="4" w:space="0" w:color="auto"/>
              <w:right w:val="single" w:sz="4" w:space="0" w:color="auto"/>
            </w:tcBorders>
            <w:vAlign w:val="center"/>
            <w:hideMark/>
          </w:tcPr>
          <w:p w14:paraId="2B4D47C8" w14:textId="4F0113E6"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xml:space="preserve">effective teams, </w:t>
            </w:r>
            <w:r w:rsidR="003B6EF3" w:rsidRPr="00E10CE8">
              <w:rPr>
                <w:rFonts w:ascii="Arial" w:hAnsi="Arial" w:cs="Arial"/>
                <w:color w:val="000000"/>
                <w:sz w:val="36"/>
                <w:szCs w:val="36"/>
              </w:rPr>
              <w:t>engagement</w:t>
            </w:r>
          </w:p>
        </w:tc>
        <w:tc>
          <w:tcPr>
            <w:tcW w:w="2250" w:type="dxa"/>
            <w:tcBorders>
              <w:top w:val="nil"/>
              <w:left w:val="nil"/>
              <w:bottom w:val="single" w:sz="4" w:space="0" w:color="auto"/>
              <w:right w:val="single" w:sz="4" w:space="0" w:color="auto"/>
            </w:tcBorders>
            <w:vAlign w:val="center"/>
            <w:hideMark/>
          </w:tcPr>
          <w:p w14:paraId="4EC782E5"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organisation culture, learning approaches</w:t>
            </w:r>
          </w:p>
        </w:tc>
      </w:tr>
      <w:tr w:rsidR="00453770" w:rsidRPr="00E10CE8" w14:paraId="667D22D0" w14:textId="77777777" w:rsidTr="003B6EF3">
        <w:trPr>
          <w:trHeight w:val="680"/>
        </w:trPr>
        <w:tc>
          <w:tcPr>
            <w:tcW w:w="988" w:type="dxa"/>
            <w:vMerge/>
            <w:tcBorders>
              <w:top w:val="nil"/>
              <w:left w:val="single" w:sz="4" w:space="0" w:color="auto"/>
              <w:bottom w:val="single" w:sz="4" w:space="0" w:color="auto"/>
              <w:right w:val="single" w:sz="4" w:space="0" w:color="auto"/>
            </w:tcBorders>
            <w:vAlign w:val="center"/>
            <w:hideMark/>
          </w:tcPr>
          <w:p w14:paraId="20F22168"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03F84F1A"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Business acumen</w:t>
            </w:r>
          </w:p>
        </w:tc>
        <w:tc>
          <w:tcPr>
            <w:tcW w:w="2937" w:type="dxa"/>
            <w:tcBorders>
              <w:top w:val="nil"/>
              <w:left w:val="nil"/>
              <w:bottom w:val="single" w:sz="4" w:space="0" w:color="auto"/>
              <w:right w:val="single" w:sz="4" w:space="0" w:color="auto"/>
            </w:tcBorders>
            <w:vAlign w:val="center"/>
            <w:hideMark/>
          </w:tcPr>
          <w:p w14:paraId="67FF5463"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business model, value creation, financial literacy</w:t>
            </w:r>
          </w:p>
        </w:tc>
        <w:tc>
          <w:tcPr>
            <w:tcW w:w="2250" w:type="dxa"/>
            <w:tcBorders>
              <w:top w:val="nil"/>
              <w:left w:val="nil"/>
              <w:bottom w:val="single" w:sz="4" w:space="0" w:color="auto"/>
              <w:right w:val="single" w:sz="4" w:space="0" w:color="auto"/>
            </w:tcBorders>
            <w:vAlign w:val="center"/>
            <w:hideMark/>
          </w:tcPr>
          <w:p w14:paraId="49553FCB"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supplier management</w:t>
            </w:r>
          </w:p>
        </w:tc>
      </w:tr>
      <w:tr w:rsidR="00453770" w:rsidRPr="00E10CE8" w14:paraId="0E3A9014" w14:textId="77777777" w:rsidTr="003B6EF3">
        <w:trPr>
          <w:trHeight w:val="680"/>
        </w:trPr>
        <w:tc>
          <w:tcPr>
            <w:tcW w:w="988" w:type="dxa"/>
            <w:vMerge/>
            <w:tcBorders>
              <w:top w:val="nil"/>
              <w:left w:val="single" w:sz="4" w:space="0" w:color="auto"/>
              <w:bottom w:val="single" w:sz="4" w:space="0" w:color="auto"/>
              <w:right w:val="single" w:sz="4" w:space="0" w:color="auto"/>
            </w:tcBorders>
            <w:vAlign w:val="center"/>
            <w:hideMark/>
          </w:tcPr>
          <w:p w14:paraId="69AD7E1F"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3FCC4F11"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Evidence-based practice</w:t>
            </w:r>
          </w:p>
        </w:tc>
        <w:tc>
          <w:tcPr>
            <w:tcW w:w="2937" w:type="dxa"/>
            <w:tcBorders>
              <w:top w:val="nil"/>
              <w:left w:val="nil"/>
              <w:bottom w:val="single" w:sz="4" w:space="0" w:color="auto"/>
              <w:right w:val="single" w:sz="4" w:space="0" w:color="auto"/>
            </w:tcBorders>
            <w:vAlign w:val="center"/>
            <w:hideMark/>
          </w:tcPr>
          <w:p w14:paraId="1C0216EB"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SWOT/PESTLE, Data and analytics, research</w:t>
            </w:r>
          </w:p>
        </w:tc>
        <w:tc>
          <w:tcPr>
            <w:tcW w:w="2250" w:type="dxa"/>
            <w:tcBorders>
              <w:top w:val="nil"/>
              <w:left w:val="nil"/>
              <w:bottom w:val="single" w:sz="4" w:space="0" w:color="auto"/>
              <w:right w:val="single" w:sz="4" w:space="0" w:color="auto"/>
            </w:tcBorders>
            <w:vAlign w:val="center"/>
            <w:hideMark/>
          </w:tcPr>
          <w:p w14:paraId="173603C0" w14:textId="7FC71CA8" w:rsidR="00453770" w:rsidRPr="00E10CE8" w:rsidRDefault="003B6EF3"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evidence</w:t>
            </w:r>
            <w:r w:rsidR="00453770" w:rsidRPr="00E10CE8">
              <w:rPr>
                <w:rFonts w:ascii="Arial" w:hAnsi="Arial" w:cs="Arial"/>
                <w:color w:val="000000"/>
                <w:sz w:val="36"/>
                <w:szCs w:val="36"/>
              </w:rPr>
              <w:t xml:space="preserve"> based practice</w:t>
            </w:r>
          </w:p>
        </w:tc>
      </w:tr>
      <w:tr w:rsidR="00453770" w:rsidRPr="00E10CE8" w14:paraId="2A63F6C8"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77B612FF"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1F03C8A2"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Technology and people</w:t>
            </w:r>
          </w:p>
        </w:tc>
        <w:tc>
          <w:tcPr>
            <w:tcW w:w="2937" w:type="dxa"/>
            <w:tcBorders>
              <w:top w:val="nil"/>
              <w:left w:val="nil"/>
              <w:bottom w:val="single" w:sz="4" w:space="0" w:color="auto"/>
              <w:right w:val="single" w:sz="4" w:space="0" w:color="auto"/>
            </w:tcBorders>
            <w:vAlign w:val="center"/>
            <w:hideMark/>
          </w:tcPr>
          <w:p w14:paraId="6F34BC66"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AI and tools</w:t>
            </w:r>
          </w:p>
        </w:tc>
        <w:tc>
          <w:tcPr>
            <w:tcW w:w="2250" w:type="dxa"/>
            <w:tcBorders>
              <w:top w:val="nil"/>
              <w:left w:val="nil"/>
              <w:bottom w:val="single" w:sz="4" w:space="0" w:color="auto"/>
              <w:right w:val="single" w:sz="4" w:space="0" w:color="auto"/>
            </w:tcBorders>
            <w:vAlign w:val="center"/>
            <w:hideMark/>
          </w:tcPr>
          <w:p w14:paraId="552C952E"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impact of technology</w:t>
            </w:r>
          </w:p>
        </w:tc>
      </w:tr>
      <w:tr w:rsidR="00453770" w:rsidRPr="00E10CE8" w14:paraId="5EA87B89" w14:textId="77777777" w:rsidTr="003B6EF3">
        <w:trPr>
          <w:trHeight w:val="680"/>
        </w:trPr>
        <w:tc>
          <w:tcPr>
            <w:tcW w:w="988" w:type="dxa"/>
            <w:vMerge/>
            <w:tcBorders>
              <w:top w:val="nil"/>
              <w:left w:val="single" w:sz="4" w:space="0" w:color="auto"/>
              <w:bottom w:val="single" w:sz="4" w:space="0" w:color="auto"/>
              <w:right w:val="single" w:sz="4" w:space="0" w:color="auto"/>
            </w:tcBorders>
            <w:vAlign w:val="center"/>
            <w:hideMark/>
          </w:tcPr>
          <w:p w14:paraId="57FF0DCD"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6EC165AF"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Change</w:t>
            </w:r>
          </w:p>
        </w:tc>
        <w:tc>
          <w:tcPr>
            <w:tcW w:w="2937" w:type="dxa"/>
            <w:tcBorders>
              <w:top w:val="nil"/>
              <w:left w:val="nil"/>
              <w:bottom w:val="single" w:sz="4" w:space="0" w:color="auto"/>
              <w:right w:val="single" w:sz="4" w:space="0" w:color="auto"/>
            </w:tcBorders>
            <w:vAlign w:val="center"/>
            <w:hideMark/>
          </w:tcPr>
          <w:p w14:paraId="0C66E037" w14:textId="47A0DB88" w:rsidR="00453770" w:rsidRPr="00E10CE8" w:rsidRDefault="003B6EF3"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continuous</w:t>
            </w:r>
            <w:r w:rsidR="00453770" w:rsidRPr="00E10CE8">
              <w:rPr>
                <w:rFonts w:ascii="Arial" w:hAnsi="Arial" w:cs="Arial"/>
                <w:color w:val="000000"/>
                <w:sz w:val="36"/>
                <w:szCs w:val="36"/>
              </w:rPr>
              <w:t xml:space="preserve"> improvement</w:t>
            </w:r>
          </w:p>
        </w:tc>
        <w:tc>
          <w:tcPr>
            <w:tcW w:w="2250" w:type="dxa"/>
            <w:tcBorders>
              <w:top w:val="nil"/>
              <w:left w:val="nil"/>
              <w:bottom w:val="single" w:sz="4" w:space="0" w:color="auto"/>
              <w:right w:val="single" w:sz="4" w:space="0" w:color="auto"/>
            </w:tcBorders>
            <w:vAlign w:val="center"/>
            <w:hideMark/>
          </w:tcPr>
          <w:p w14:paraId="61B45833"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xml:space="preserve">business case, project </w:t>
            </w:r>
            <w:r w:rsidRPr="00E10CE8">
              <w:rPr>
                <w:rFonts w:ascii="Arial" w:hAnsi="Arial" w:cs="Arial"/>
                <w:color w:val="000000"/>
                <w:sz w:val="36"/>
                <w:szCs w:val="36"/>
              </w:rPr>
              <w:lastRenderedPageBreak/>
              <w:t>management</w:t>
            </w:r>
          </w:p>
        </w:tc>
      </w:tr>
      <w:tr w:rsidR="00453770" w:rsidRPr="00E10CE8" w14:paraId="0D6A66CA" w14:textId="77777777" w:rsidTr="003B6EF3">
        <w:trPr>
          <w:trHeight w:val="340"/>
        </w:trPr>
        <w:tc>
          <w:tcPr>
            <w:tcW w:w="988" w:type="dxa"/>
            <w:vMerge w:val="restart"/>
            <w:tcBorders>
              <w:top w:val="nil"/>
              <w:left w:val="single" w:sz="4" w:space="0" w:color="auto"/>
              <w:bottom w:val="single" w:sz="4" w:space="0" w:color="auto"/>
              <w:right w:val="single" w:sz="4" w:space="0" w:color="auto"/>
            </w:tcBorders>
            <w:noWrap/>
            <w:textDirection w:val="btLr"/>
            <w:vAlign w:val="bottom"/>
            <w:hideMark/>
          </w:tcPr>
          <w:p w14:paraId="00981CE7" w14:textId="77777777" w:rsidR="00453770" w:rsidRPr="00E10CE8" w:rsidRDefault="00453770" w:rsidP="00E10CE8">
            <w:pPr>
              <w:spacing w:line="360" w:lineRule="auto"/>
              <w:ind w:left="113" w:right="113"/>
              <w:jc w:val="center"/>
              <w:rPr>
                <w:rFonts w:ascii="Arial" w:hAnsi="Arial" w:cs="Arial"/>
                <w:color w:val="000000"/>
                <w:sz w:val="36"/>
                <w:szCs w:val="36"/>
              </w:rPr>
            </w:pPr>
            <w:r w:rsidRPr="00E10CE8">
              <w:rPr>
                <w:rFonts w:ascii="Arial" w:hAnsi="Arial" w:cs="Arial"/>
                <w:color w:val="000000"/>
                <w:sz w:val="36"/>
                <w:szCs w:val="36"/>
              </w:rPr>
              <w:lastRenderedPageBreak/>
              <w:t>Core Behaviour</w:t>
            </w:r>
          </w:p>
        </w:tc>
        <w:tc>
          <w:tcPr>
            <w:tcW w:w="2835" w:type="dxa"/>
            <w:tcBorders>
              <w:top w:val="nil"/>
              <w:left w:val="nil"/>
              <w:bottom w:val="single" w:sz="4" w:space="0" w:color="auto"/>
              <w:right w:val="single" w:sz="4" w:space="0" w:color="auto"/>
            </w:tcBorders>
            <w:noWrap/>
            <w:vAlign w:val="bottom"/>
            <w:hideMark/>
          </w:tcPr>
          <w:p w14:paraId="66996D22"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Ethical practice</w:t>
            </w:r>
          </w:p>
        </w:tc>
        <w:tc>
          <w:tcPr>
            <w:tcW w:w="2937" w:type="dxa"/>
            <w:tcBorders>
              <w:top w:val="nil"/>
              <w:left w:val="nil"/>
              <w:bottom w:val="single" w:sz="4" w:space="0" w:color="auto"/>
              <w:right w:val="single" w:sz="4" w:space="0" w:color="auto"/>
            </w:tcBorders>
            <w:vAlign w:val="center"/>
            <w:hideMark/>
          </w:tcPr>
          <w:p w14:paraId="26FC996E" w14:textId="560EB3C0"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xml:space="preserve"> integrity, </w:t>
            </w:r>
            <w:r w:rsidR="003B6EF3" w:rsidRPr="00E10CE8">
              <w:rPr>
                <w:rFonts w:ascii="Arial" w:hAnsi="Arial" w:cs="Arial"/>
                <w:color w:val="000000"/>
                <w:sz w:val="36"/>
                <w:szCs w:val="36"/>
              </w:rPr>
              <w:t>transparency</w:t>
            </w:r>
          </w:p>
        </w:tc>
        <w:tc>
          <w:tcPr>
            <w:tcW w:w="2250" w:type="dxa"/>
            <w:tcBorders>
              <w:top w:val="nil"/>
              <w:left w:val="nil"/>
              <w:bottom w:val="single" w:sz="4" w:space="0" w:color="auto"/>
              <w:right w:val="single" w:sz="4" w:space="0" w:color="auto"/>
            </w:tcBorders>
            <w:vAlign w:val="center"/>
            <w:hideMark/>
          </w:tcPr>
          <w:p w14:paraId="4396DB5D"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ethical decisions</w:t>
            </w:r>
          </w:p>
        </w:tc>
      </w:tr>
      <w:tr w:rsidR="00453770" w:rsidRPr="00E10CE8" w14:paraId="3224E673" w14:textId="77777777" w:rsidTr="003B6EF3">
        <w:trPr>
          <w:trHeight w:val="680"/>
        </w:trPr>
        <w:tc>
          <w:tcPr>
            <w:tcW w:w="988" w:type="dxa"/>
            <w:vMerge/>
            <w:tcBorders>
              <w:top w:val="nil"/>
              <w:left w:val="single" w:sz="4" w:space="0" w:color="auto"/>
              <w:bottom w:val="single" w:sz="4" w:space="0" w:color="auto"/>
              <w:right w:val="single" w:sz="4" w:space="0" w:color="auto"/>
            </w:tcBorders>
            <w:vAlign w:val="center"/>
            <w:hideMark/>
          </w:tcPr>
          <w:p w14:paraId="45F60B5B"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0B1E6FD6"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Professional courage and influence</w:t>
            </w:r>
          </w:p>
        </w:tc>
        <w:tc>
          <w:tcPr>
            <w:tcW w:w="2937" w:type="dxa"/>
            <w:tcBorders>
              <w:top w:val="nil"/>
              <w:left w:val="nil"/>
              <w:bottom w:val="single" w:sz="4" w:space="0" w:color="auto"/>
              <w:right w:val="single" w:sz="4" w:space="0" w:color="auto"/>
            </w:tcBorders>
            <w:vAlign w:val="center"/>
            <w:hideMark/>
          </w:tcPr>
          <w:p w14:paraId="29B52D0D" w14:textId="607BC04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xml:space="preserve">courage, </w:t>
            </w:r>
            <w:r w:rsidR="00311817">
              <w:rPr>
                <w:rFonts w:ascii="Arial" w:hAnsi="Arial" w:cs="Arial"/>
                <w:color w:val="000000"/>
                <w:sz w:val="36"/>
                <w:szCs w:val="36"/>
              </w:rPr>
              <w:t xml:space="preserve">communication, </w:t>
            </w:r>
            <w:r w:rsidRPr="00E10CE8">
              <w:rPr>
                <w:rFonts w:ascii="Arial" w:hAnsi="Arial" w:cs="Arial"/>
                <w:color w:val="000000"/>
                <w:sz w:val="36"/>
                <w:szCs w:val="36"/>
              </w:rPr>
              <w:t>accountability</w:t>
            </w:r>
            <w:r w:rsidR="00311817">
              <w:rPr>
                <w:rFonts w:ascii="Arial" w:hAnsi="Arial" w:cs="Arial"/>
                <w:color w:val="000000"/>
                <w:sz w:val="36"/>
                <w:szCs w:val="36"/>
              </w:rPr>
              <w:t xml:space="preserve">, </w:t>
            </w:r>
            <w:r w:rsidR="00311817" w:rsidRPr="00E10CE8">
              <w:rPr>
                <w:rFonts w:ascii="Arial" w:hAnsi="Arial" w:cs="Arial"/>
                <w:color w:val="000000"/>
                <w:sz w:val="36"/>
                <w:szCs w:val="36"/>
              </w:rPr>
              <w:t>stakeholder relationship</w:t>
            </w:r>
          </w:p>
        </w:tc>
        <w:tc>
          <w:tcPr>
            <w:tcW w:w="2250" w:type="dxa"/>
            <w:tcBorders>
              <w:top w:val="nil"/>
              <w:left w:val="nil"/>
              <w:bottom w:val="single" w:sz="4" w:space="0" w:color="auto"/>
              <w:right w:val="single" w:sz="4" w:space="0" w:color="auto"/>
            </w:tcBorders>
            <w:vAlign w:val="center"/>
            <w:hideMark/>
          </w:tcPr>
          <w:p w14:paraId="268E0A11" w14:textId="085E9F7B" w:rsidR="00453770" w:rsidRPr="00E10CE8" w:rsidRDefault="00453770" w:rsidP="00E10CE8">
            <w:pPr>
              <w:spacing w:line="360" w:lineRule="auto"/>
              <w:jc w:val="center"/>
              <w:rPr>
                <w:rFonts w:ascii="Arial" w:hAnsi="Arial" w:cs="Arial"/>
                <w:color w:val="000000"/>
                <w:sz w:val="36"/>
                <w:szCs w:val="36"/>
              </w:rPr>
            </w:pPr>
          </w:p>
        </w:tc>
      </w:tr>
      <w:tr w:rsidR="00453770" w:rsidRPr="00E10CE8" w14:paraId="3F4A3A9F"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4CA98D10"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1F957D00"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Valuing people</w:t>
            </w:r>
          </w:p>
        </w:tc>
        <w:tc>
          <w:tcPr>
            <w:tcW w:w="2937" w:type="dxa"/>
            <w:tcBorders>
              <w:top w:val="nil"/>
              <w:left w:val="nil"/>
              <w:bottom w:val="single" w:sz="4" w:space="0" w:color="auto"/>
              <w:right w:val="single" w:sz="4" w:space="0" w:color="auto"/>
            </w:tcBorders>
            <w:vAlign w:val="center"/>
            <w:hideMark/>
          </w:tcPr>
          <w:p w14:paraId="44E928D7"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enabling voice, humanity</w:t>
            </w:r>
          </w:p>
        </w:tc>
        <w:tc>
          <w:tcPr>
            <w:tcW w:w="2250" w:type="dxa"/>
            <w:tcBorders>
              <w:top w:val="nil"/>
              <w:left w:val="nil"/>
              <w:bottom w:val="single" w:sz="4" w:space="0" w:color="auto"/>
              <w:right w:val="single" w:sz="4" w:space="0" w:color="auto"/>
            </w:tcBorders>
            <w:vAlign w:val="center"/>
            <w:hideMark/>
          </w:tcPr>
          <w:p w14:paraId="3FD090A7"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team spirit</w:t>
            </w:r>
          </w:p>
        </w:tc>
      </w:tr>
      <w:tr w:rsidR="00453770" w:rsidRPr="00E10CE8" w14:paraId="18F39DBA"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1DB7CB71"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2F04742F"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Working inclusively</w:t>
            </w:r>
          </w:p>
        </w:tc>
        <w:tc>
          <w:tcPr>
            <w:tcW w:w="2937" w:type="dxa"/>
            <w:tcBorders>
              <w:top w:val="nil"/>
              <w:left w:val="nil"/>
              <w:bottom w:val="single" w:sz="4" w:space="0" w:color="auto"/>
              <w:right w:val="single" w:sz="4" w:space="0" w:color="auto"/>
            </w:tcBorders>
            <w:vAlign w:val="center"/>
            <w:hideMark/>
          </w:tcPr>
          <w:p w14:paraId="58EA0983" w14:textId="1FBBBE76"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xml:space="preserve">collaboration, conflict </w:t>
            </w:r>
            <w:r w:rsidR="003B6EF3" w:rsidRPr="00E10CE8">
              <w:rPr>
                <w:rFonts w:ascii="Arial" w:hAnsi="Arial" w:cs="Arial"/>
                <w:color w:val="000000"/>
                <w:sz w:val="36"/>
                <w:szCs w:val="36"/>
              </w:rPr>
              <w:t>resolution</w:t>
            </w:r>
          </w:p>
        </w:tc>
        <w:tc>
          <w:tcPr>
            <w:tcW w:w="2250" w:type="dxa"/>
            <w:tcBorders>
              <w:top w:val="nil"/>
              <w:left w:val="nil"/>
              <w:bottom w:val="single" w:sz="4" w:space="0" w:color="auto"/>
              <w:right w:val="single" w:sz="4" w:space="0" w:color="auto"/>
            </w:tcBorders>
            <w:vAlign w:val="center"/>
            <w:hideMark/>
          </w:tcPr>
          <w:p w14:paraId="257BC9A6"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w:t>
            </w:r>
          </w:p>
        </w:tc>
      </w:tr>
      <w:tr w:rsidR="00453770" w:rsidRPr="00E10CE8" w14:paraId="256085FD"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54F6B9CB"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184276B1"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Commercial drive</w:t>
            </w:r>
          </w:p>
        </w:tc>
        <w:tc>
          <w:tcPr>
            <w:tcW w:w="2937" w:type="dxa"/>
            <w:tcBorders>
              <w:top w:val="nil"/>
              <w:left w:val="nil"/>
              <w:bottom w:val="single" w:sz="4" w:space="0" w:color="auto"/>
              <w:right w:val="single" w:sz="4" w:space="0" w:color="auto"/>
            </w:tcBorders>
            <w:vAlign w:val="center"/>
            <w:hideMark/>
          </w:tcPr>
          <w:p w14:paraId="48D024E4"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commercial focus, delivery focus</w:t>
            </w:r>
          </w:p>
        </w:tc>
        <w:tc>
          <w:tcPr>
            <w:tcW w:w="2250" w:type="dxa"/>
            <w:tcBorders>
              <w:top w:val="nil"/>
              <w:left w:val="nil"/>
              <w:bottom w:val="single" w:sz="4" w:space="0" w:color="auto"/>
              <w:right w:val="single" w:sz="4" w:space="0" w:color="auto"/>
            </w:tcBorders>
            <w:vAlign w:val="center"/>
            <w:hideMark/>
          </w:tcPr>
          <w:p w14:paraId="74240854"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financial acumen</w:t>
            </w:r>
          </w:p>
        </w:tc>
      </w:tr>
      <w:tr w:rsidR="00453770" w:rsidRPr="00E10CE8" w14:paraId="20023793"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0300FDFA"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581C02BC"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Passion for learning</w:t>
            </w:r>
          </w:p>
        </w:tc>
        <w:tc>
          <w:tcPr>
            <w:tcW w:w="2937" w:type="dxa"/>
            <w:tcBorders>
              <w:top w:val="nil"/>
              <w:left w:val="nil"/>
              <w:bottom w:val="single" w:sz="4" w:space="0" w:color="auto"/>
              <w:right w:val="single" w:sz="4" w:space="0" w:color="auto"/>
            </w:tcBorders>
            <w:vAlign w:val="center"/>
            <w:hideMark/>
          </w:tcPr>
          <w:p w14:paraId="45A1D8DD" w14:textId="1B75F17F" w:rsidR="00453770" w:rsidRPr="00E10CE8" w:rsidRDefault="003B6EF3"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self-awareness</w:t>
            </w:r>
            <w:r w:rsidR="00453770" w:rsidRPr="00E10CE8">
              <w:rPr>
                <w:rFonts w:ascii="Arial" w:hAnsi="Arial" w:cs="Arial"/>
                <w:color w:val="000000"/>
                <w:sz w:val="36"/>
                <w:szCs w:val="36"/>
              </w:rPr>
              <w:t>, new approaches</w:t>
            </w:r>
          </w:p>
        </w:tc>
        <w:tc>
          <w:tcPr>
            <w:tcW w:w="2250" w:type="dxa"/>
            <w:tcBorders>
              <w:top w:val="nil"/>
              <w:left w:val="nil"/>
              <w:bottom w:val="single" w:sz="4" w:space="0" w:color="auto"/>
              <w:right w:val="single" w:sz="4" w:space="0" w:color="auto"/>
            </w:tcBorders>
            <w:vAlign w:val="center"/>
            <w:hideMark/>
          </w:tcPr>
          <w:p w14:paraId="6D097CB6"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w:t>
            </w:r>
          </w:p>
        </w:tc>
      </w:tr>
      <w:tr w:rsidR="00453770" w:rsidRPr="00E10CE8" w14:paraId="0319F532"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101AB3A2"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6B6A0E4A"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Insights focused</w:t>
            </w:r>
          </w:p>
        </w:tc>
        <w:tc>
          <w:tcPr>
            <w:tcW w:w="2937" w:type="dxa"/>
            <w:tcBorders>
              <w:top w:val="nil"/>
              <w:left w:val="nil"/>
              <w:bottom w:val="single" w:sz="4" w:space="0" w:color="auto"/>
              <w:right w:val="single" w:sz="4" w:space="0" w:color="auto"/>
            </w:tcBorders>
            <w:vAlign w:val="center"/>
            <w:hideMark/>
          </w:tcPr>
          <w:p w14:paraId="5EB30ED0"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gaining evidence, innovation</w:t>
            </w:r>
          </w:p>
        </w:tc>
        <w:tc>
          <w:tcPr>
            <w:tcW w:w="2250" w:type="dxa"/>
            <w:tcBorders>
              <w:top w:val="nil"/>
              <w:left w:val="nil"/>
              <w:bottom w:val="single" w:sz="4" w:space="0" w:color="auto"/>
              <w:right w:val="single" w:sz="4" w:space="0" w:color="auto"/>
            </w:tcBorders>
            <w:vAlign w:val="center"/>
            <w:hideMark/>
          </w:tcPr>
          <w:p w14:paraId="164C2AFD"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w:t>
            </w:r>
          </w:p>
        </w:tc>
      </w:tr>
      <w:tr w:rsidR="00453770" w:rsidRPr="00E10CE8" w14:paraId="3F5581DD"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15E02501"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52F866CA"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Situational decision-making</w:t>
            </w:r>
          </w:p>
        </w:tc>
        <w:tc>
          <w:tcPr>
            <w:tcW w:w="2937" w:type="dxa"/>
            <w:tcBorders>
              <w:top w:val="nil"/>
              <w:left w:val="nil"/>
              <w:bottom w:val="single" w:sz="4" w:space="0" w:color="auto"/>
              <w:right w:val="single" w:sz="4" w:space="0" w:color="auto"/>
            </w:tcBorders>
            <w:vAlign w:val="center"/>
            <w:hideMark/>
          </w:tcPr>
          <w:p w14:paraId="1E8C328B"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adaptability</w:t>
            </w:r>
          </w:p>
        </w:tc>
        <w:tc>
          <w:tcPr>
            <w:tcW w:w="2250" w:type="dxa"/>
            <w:tcBorders>
              <w:top w:val="nil"/>
              <w:left w:val="nil"/>
              <w:bottom w:val="single" w:sz="4" w:space="0" w:color="auto"/>
              <w:right w:val="single" w:sz="4" w:space="0" w:color="auto"/>
            </w:tcBorders>
            <w:vAlign w:val="center"/>
            <w:hideMark/>
          </w:tcPr>
          <w:p w14:paraId="037BCC33" w14:textId="070757ED" w:rsidR="00453770" w:rsidRPr="00E10CE8" w:rsidRDefault="003B6EF3"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decisions</w:t>
            </w:r>
            <w:r w:rsidR="00453770" w:rsidRPr="00E10CE8">
              <w:rPr>
                <w:rFonts w:ascii="Arial" w:hAnsi="Arial" w:cs="Arial"/>
                <w:color w:val="000000"/>
                <w:sz w:val="36"/>
                <w:szCs w:val="36"/>
              </w:rPr>
              <w:t xml:space="preserve"> making</w:t>
            </w:r>
          </w:p>
        </w:tc>
      </w:tr>
      <w:tr w:rsidR="00453770" w:rsidRPr="00E10CE8" w14:paraId="2C3D6FA0" w14:textId="77777777" w:rsidTr="003B6EF3">
        <w:trPr>
          <w:trHeight w:val="340"/>
        </w:trPr>
        <w:tc>
          <w:tcPr>
            <w:tcW w:w="988" w:type="dxa"/>
            <w:vMerge w:val="restart"/>
            <w:tcBorders>
              <w:top w:val="nil"/>
              <w:left w:val="single" w:sz="4" w:space="0" w:color="auto"/>
              <w:bottom w:val="single" w:sz="4" w:space="0" w:color="auto"/>
              <w:right w:val="single" w:sz="4" w:space="0" w:color="auto"/>
            </w:tcBorders>
            <w:noWrap/>
            <w:textDirection w:val="btLr"/>
            <w:vAlign w:val="bottom"/>
            <w:hideMark/>
          </w:tcPr>
          <w:p w14:paraId="4E63E41C" w14:textId="77777777" w:rsidR="00453770" w:rsidRPr="00E10CE8" w:rsidRDefault="00453770" w:rsidP="00E10CE8">
            <w:pPr>
              <w:spacing w:line="360" w:lineRule="auto"/>
              <w:ind w:left="113" w:right="113"/>
              <w:jc w:val="center"/>
              <w:rPr>
                <w:rFonts w:ascii="Arial" w:hAnsi="Arial" w:cs="Arial"/>
                <w:color w:val="000000"/>
                <w:sz w:val="36"/>
                <w:szCs w:val="36"/>
              </w:rPr>
            </w:pPr>
            <w:r w:rsidRPr="00E10CE8">
              <w:rPr>
                <w:rFonts w:ascii="Arial" w:hAnsi="Arial" w:cs="Arial"/>
                <w:color w:val="000000"/>
                <w:sz w:val="36"/>
                <w:szCs w:val="36"/>
              </w:rPr>
              <w:t>Specialist Knowledge</w:t>
            </w:r>
          </w:p>
        </w:tc>
        <w:tc>
          <w:tcPr>
            <w:tcW w:w="2835" w:type="dxa"/>
            <w:tcBorders>
              <w:top w:val="nil"/>
              <w:left w:val="nil"/>
              <w:bottom w:val="single" w:sz="4" w:space="0" w:color="auto"/>
              <w:right w:val="single" w:sz="4" w:space="0" w:color="auto"/>
            </w:tcBorders>
            <w:noWrap/>
            <w:vAlign w:val="bottom"/>
            <w:hideMark/>
          </w:tcPr>
          <w:p w14:paraId="6932E46E"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Employee experience</w:t>
            </w:r>
          </w:p>
        </w:tc>
        <w:tc>
          <w:tcPr>
            <w:tcW w:w="2937" w:type="dxa"/>
            <w:tcBorders>
              <w:top w:val="nil"/>
              <w:left w:val="nil"/>
              <w:bottom w:val="single" w:sz="4" w:space="0" w:color="auto"/>
              <w:right w:val="single" w:sz="4" w:space="0" w:color="auto"/>
            </w:tcBorders>
            <w:vAlign w:val="center"/>
            <w:hideMark/>
          </w:tcPr>
          <w:p w14:paraId="60723D21"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onboarding, worker experience</w:t>
            </w:r>
          </w:p>
        </w:tc>
        <w:tc>
          <w:tcPr>
            <w:tcW w:w="2250" w:type="dxa"/>
            <w:tcBorders>
              <w:top w:val="nil"/>
              <w:left w:val="nil"/>
              <w:bottom w:val="single" w:sz="4" w:space="0" w:color="auto"/>
              <w:right w:val="single" w:sz="4" w:space="0" w:color="auto"/>
            </w:tcBorders>
            <w:vAlign w:val="center"/>
            <w:hideMark/>
          </w:tcPr>
          <w:p w14:paraId="19A00DC8" w14:textId="2D5649D8" w:rsidR="00453770" w:rsidRPr="00E10CE8" w:rsidRDefault="003B6EF3"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engagement</w:t>
            </w:r>
            <w:r w:rsidR="00453770" w:rsidRPr="00E10CE8">
              <w:rPr>
                <w:rFonts w:ascii="Arial" w:hAnsi="Arial" w:cs="Arial"/>
                <w:color w:val="000000"/>
                <w:sz w:val="36"/>
                <w:szCs w:val="36"/>
              </w:rPr>
              <w:t xml:space="preserve"> approaches</w:t>
            </w:r>
          </w:p>
        </w:tc>
      </w:tr>
      <w:tr w:rsidR="00453770" w:rsidRPr="00E10CE8" w14:paraId="5F802475" w14:textId="77777777" w:rsidTr="003B6EF3">
        <w:trPr>
          <w:trHeight w:val="680"/>
        </w:trPr>
        <w:tc>
          <w:tcPr>
            <w:tcW w:w="988" w:type="dxa"/>
            <w:vMerge/>
            <w:tcBorders>
              <w:top w:val="nil"/>
              <w:left w:val="single" w:sz="4" w:space="0" w:color="auto"/>
              <w:bottom w:val="single" w:sz="4" w:space="0" w:color="auto"/>
              <w:right w:val="single" w:sz="4" w:space="0" w:color="auto"/>
            </w:tcBorders>
            <w:vAlign w:val="center"/>
            <w:hideMark/>
          </w:tcPr>
          <w:p w14:paraId="4BF008EB"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5292F743"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Employee relations</w:t>
            </w:r>
          </w:p>
        </w:tc>
        <w:tc>
          <w:tcPr>
            <w:tcW w:w="2937" w:type="dxa"/>
            <w:tcBorders>
              <w:top w:val="nil"/>
              <w:left w:val="nil"/>
              <w:bottom w:val="single" w:sz="4" w:space="0" w:color="auto"/>
              <w:right w:val="single" w:sz="4" w:space="0" w:color="auto"/>
            </w:tcBorders>
            <w:vAlign w:val="center"/>
            <w:hideMark/>
          </w:tcPr>
          <w:p w14:paraId="6B24A1A6" w14:textId="2D43009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xml:space="preserve">employee relation culture, voice and </w:t>
            </w:r>
            <w:r w:rsidR="003B6EF3" w:rsidRPr="00E10CE8">
              <w:rPr>
                <w:rFonts w:ascii="Arial" w:hAnsi="Arial" w:cs="Arial"/>
                <w:color w:val="000000"/>
                <w:sz w:val="36"/>
                <w:szCs w:val="36"/>
              </w:rPr>
              <w:t>engagement</w:t>
            </w:r>
          </w:p>
        </w:tc>
        <w:tc>
          <w:tcPr>
            <w:tcW w:w="2250" w:type="dxa"/>
            <w:tcBorders>
              <w:top w:val="nil"/>
              <w:left w:val="nil"/>
              <w:bottom w:val="single" w:sz="4" w:space="0" w:color="auto"/>
              <w:right w:val="single" w:sz="4" w:space="0" w:color="auto"/>
            </w:tcBorders>
            <w:vAlign w:val="center"/>
            <w:hideMark/>
          </w:tcPr>
          <w:p w14:paraId="775A551D"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legal system, negotiation</w:t>
            </w:r>
          </w:p>
        </w:tc>
      </w:tr>
      <w:tr w:rsidR="00453770" w:rsidRPr="00E10CE8" w14:paraId="621FB2C9"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52037E22"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6B0AD230"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Equality, diversity and inclusion</w:t>
            </w:r>
          </w:p>
        </w:tc>
        <w:tc>
          <w:tcPr>
            <w:tcW w:w="2937" w:type="dxa"/>
            <w:tcBorders>
              <w:top w:val="nil"/>
              <w:left w:val="nil"/>
              <w:bottom w:val="single" w:sz="4" w:space="0" w:color="auto"/>
              <w:right w:val="single" w:sz="4" w:space="0" w:color="auto"/>
            </w:tcBorders>
            <w:vAlign w:val="center"/>
            <w:hideMark/>
          </w:tcPr>
          <w:p w14:paraId="192E7499" w14:textId="3F830DE6"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xml:space="preserve">trust and </w:t>
            </w:r>
            <w:r w:rsidR="003B6EF3" w:rsidRPr="00E10CE8">
              <w:rPr>
                <w:rFonts w:ascii="Arial" w:hAnsi="Arial" w:cs="Arial"/>
                <w:color w:val="000000"/>
                <w:sz w:val="36"/>
                <w:szCs w:val="36"/>
              </w:rPr>
              <w:t>transparency</w:t>
            </w:r>
            <w:r w:rsidRPr="00E10CE8">
              <w:rPr>
                <w:rFonts w:ascii="Arial" w:hAnsi="Arial" w:cs="Arial"/>
                <w:color w:val="000000"/>
                <w:sz w:val="36"/>
                <w:szCs w:val="36"/>
              </w:rPr>
              <w:t>, accountability</w:t>
            </w:r>
          </w:p>
        </w:tc>
        <w:tc>
          <w:tcPr>
            <w:tcW w:w="2250" w:type="dxa"/>
            <w:tcBorders>
              <w:top w:val="nil"/>
              <w:left w:val="nil"/>
              <w:bottom w:val="single" w:sz="4" w:space="0" w:color="auto"/>
              <w:right w:val="single" w:sz="4" w:space="0" w:color="auto"/>
            </w:tcBorders>
            <w:vAlign w:val="center"/>
            <w:hideMark/>
          </w:tcPr>
          <w:p w14:paraId="263BE07C"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w:t>
            </w:r>
          </w:p>
        </w:tc>
      </w:tr>
      <w:tr w:rsidR="00453770" w:rsidRPr="00E10CE8" w14:paraId="443B2F3E"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751ABCA2"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1DC3771C"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Learning and development</w:t>
            </w:r>
          </w:p>
        </w:tc>
        <w:tc>
          <w:tcPr>
            <w:tcW w:w="2937" w:type="dxa"/>
            <w:tcBorders>
              <w:top w:val="nil"/>
              <w:left w:val="nil"/>
              <w:bottom w:val="single" w:sz="4" w:space="0" w:color="auto"/>
              <w:right w:val="single" w:sz="4" w:space="0" w:color="auto"/>
            </w:tcBorders>
            <w:vAlign w:val="center"/>
            <w:hideMark/>
          </w:tcPr>
          <w:p w14:paraId="6EBD21FE"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digital learning, coaching &amp; mentoring</w:t>
            </w:r>
          </w:p>
        </w:tc>
        <w:tc>
          <w:tcPr>
            <w:tcW w:w="2250" w:type="dxa"/>
            <w:tcBorders>
              <w:top w:val="nil"/>
              <w:left w:val="nil"/>
              <w:bottom w:val="single" w:sz="4" w:space="0" w:color="auto"/>
              <w:right w:val="single" w:sz="4" w:space="0" w:color="auto"/>
            </w:tcBorders>
            <w:vAlign w:val="center"/>
            <w:hideMark/>
          </w:tcPr>
          <w:p w14:paraId="68CE0FA6"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adult learning theories</w:t>
            </w:r>
          </w:p>
        </w:tc>
      </w:tr>
      <w:tr w:rsidR="00453770" w:rsidRPr="00E10CE8" w14:paraId="7CA13DA3"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2D90327E"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0FEDE4DE"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Reward</w:t>
            </w:r>
          </w:p>
        </w:tc>
        <w:tc>
          <w:tcPr>
            <w:tcW w:w="2937" w:type="dxa"/>
            <w:tcBorders>
              <w:top w:val="nil"/>
              <w:left w:val="nil"/>
              <w:bottom w:val="single" w:sz="4" w:space="0" w:color="auto"/>
              <w:right w:val="single" w:sz="4" w:space="0" w:color="auto"/>
            </w:tcBorders>
            <w:vAlign w:val="center"/>
            <w:hideMark/>
          </w:tcPr>
          <w:p w14:paraId="3471CB00" w14:textId="50D3CD41"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xml:space="preserve">reward approaches, </w:t>
            </w:r>
            <w:r w:rsidR="003B6EF3" w:rsidRPr="00E10CE8">
              <w:rPr>
                <w:rFonts w:ascii="Arial" w:hAnsi="Arial" w:cs="Arial"/>
                <w:color w:val="000000"/>
                <w:sz w:val="36"/>
                <w:szCs w:val="36"/>
              </w:rPr>
              <w:t>benefits</w:t>
            </w:r>
          </w:p>
        </w:tc>
        <w:tc>
          <w:tcPr>
            <w:tcW w:w="2250" w:type="dxa"/>
            <w:tcBorders>
              <w:top w:val="nil"/>
              <w:left w:val="nil"/>
              <w:bottom w:val="single" w:sz="4" w:space="0" w:color="auto"/>
              <w:right w:val="single" w:sz="4" w:space="0" w:color="auto"/>
            </w:tcBorders>
            <w:vAlign w:val="center"/>
            <w:hideMark/>
          </w:tcPr>
          <w:p w14:paraId="0C859B3D"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w:t>
            </w:r>
          </w:p>
        </w:tc>
      </w:tr>
      <w:tr w:rsidR="00453770" w:rsidRPr="00E10CE8" w14:paraId="12A4FA64" w14:textId="77777777" w:rsidTr="003B6EF3">
        <w:trPr>
          <w:trHeight w:val="680"/>
        </w:trPr>
        <w:tc>
          <w:tcPr>
            <w:tcW w:w="988" w:type="dxa"/>
            <w:vMerge/>
            <w:tcBorders>
              <w:top w:val="nil"/>
              <w:left w:val="single" w:sz="4" w:space="0" w:color="auto"/>
              <w:bottom w:val="single" w:sz="4" w:space="0" w:color="auto"/>
              <w:right w:val="single" w:sz="4" w:space="0" w:color="auto"/>
            </w:tcBorders>
            <w:vAlign w:val="center"/>
            <w:hideMark/>
          </w:tcPr>
          <w:p w14:paraId="50C6852F"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6AF0365C"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People analytics</w:t>
            </w:r>
          </w:p>
        </w:tc>
        <w:tc>
          <w:tcPr>
            <w:tcW w:w="2937" w:type="dxa"/>
            <w:tcBorders>
              <w:top w:val="nil"/>
              <w:left w:val="nil"/>
              <w:bottom w:val="single" w:sz="4" w:space="0" w:color="auto"/>
              <w:right w:val="single" w:sz="4" w:space="0" w:color="auto"/>
            </w:tcBorders>
            <w:vAlign w:val="center"/>
            <w:hideMark/>
          </w:tcPr>
          <w:p w14:paraId="1C6262E8" w14:textId="1464E3B0"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xml:space="preserve">data </w:t>
            </w:r>
            <w:r w:rsidR="003B6EF3" w:rsidRPr="00E10CE8">
              <w:rPr>
                <w:rFonts w:ascii="Arial" w:hAnsi="Arial" w:cs="Arial"/>
                <w:color w:val="000000"/>
                <w:sz w:val="36"/>
                <w:szCs w:val="36"/>
              </w:rPr>
              <w:t>understanding</w:t>
            </w:r>
          </w:p>
        </w:tc>
        <w:tc>
          <w:tcPr>
            <w:tcW w:w="2250" w:type="dxa"/>
            <w:tcBorders>
              <w:top w:val="nil"/>
              <w:left w:val="nil"/>
              <w:bottom w:val="single" w:sz="4" w:space="0" w:color="auto"/>
              <w:right w:val="single" w:sz="4" w:space="0" w:color="auto"/>
            </w:tcBorders>
            <w:vAlign w:val="center"/>
            <w:hideMark/>
          </w:tcPr>
          <w:p w14:paraId="05791EF3"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research design, data analysis</w:t>
            </w:r>
          </w:p>
        </w:tc>
      </w:tr>
      <w:tr w:rsidR="00453770" w:rsidRPr="00E10CE8" w14:paraId="03217F61" w14:textId="77777777" w:rsidTr="003B6EF3">
        <w:trPr>
          <w:trHeight w:val="680"/>
        </w:trPr>
        <w:tc>
          <w:tcPr>
            <w:tcW w:w="988" w:type="dxa"/>
            <w:vMerge/>
            <w:tcBorders>
              <w:top w:val="nil"/>
              <w:left w:val="single" w:sz="4" w:space="0" w:color="auto"/>
              <w:bottom w:val="single" w:sz="4" w:space="0" w:color="auto"/>
              <w:right w:val="single" w:sz="4" w:space="0" w:color="auto"/>
            </w:tcBorders>
            <w:vAlign w:val="center"/>
            <w:hideMark/>
          </w:tcPr>
          <w:p w14:paraId="5E2684F3"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06C74814"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Organisation development and design</w:t>
            </w:r>
          </w:p>
        </w:tc>
        <w:tc>
          <w:tcPr>
            <w:tcW w:w="2937" w:type="dxa"/>
            <w:tcBorders>
              <w:top w:val="nil"/>
              <w:left w:val="nil"/>
              <w:bottom w:val="single" w:sz="4" w:space="0" w:color="auto"/>
              <w:right w:val="single" w:sz="4" w:space="0" w:color="auto"/>
            </w:tcBorders>
            <w:vAlign w:val="center"/>
            <w:hideMark/>
          </w:tcPr>
          <w:p w14:paraId="2624ED07"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w:t>
            </w:r>
          </w:p>
        </w:tc>
        <w:tc>
          <w:tcPr>
            <w:tcW w:w="2250" w:type="dxa"/>
            <w:tcBorders>
              <w:top w:val="nil"/>
              <w:left w:val="nil"/>
              <w:bottom w:val="single" w:sz="4" w:space="0" w:color="auto"/>
              <w:right w:val="single" w:sz="4" w:space="0" w:color="auto"/>
            </w:tcBorders>
            <w:vAlign w:val="center"/>
            <w:hideMark/>
          </w:tcPr>
          <w:p w14:paraId="71A5DD23"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work design, consulting cycle</w:t>
            </w:r>
          </w:p>
        </w:tc>
      </w:tr>
      <w:tr w:rsidR="00453770" w:rsidRPr="00E10CE8" w14:paraId="77796607"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372062DD"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707D7BB8"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Resourcing</w:t>
            </w:r>
          </w:p>
        </w:tc>
        <w:tc>
          <w:tcPr>
            <w:tcW w:w="2937" w:type="dxa"/>
            <w:tcBorders>
              <w:top w:val="nil"/>
              <w:left w:val="nil"/>
              <w:bottom w:val="single" w:sz="4" w:space="0" w:color="auto"/>
              <w:right w:val="single" w:sz="4" w:space="0" w:color="auto"/>
            </w:tcBorders>
            <w:vAlign w:val="center"/>
            <w:hideMark/>
          </w:tcPr>
          <w:p w14:paraId="190044F9"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AI in recruitment, worker types</w:t>
            </w:r>
          </w:p>
        </w:tc>
        <w:tc>
          <w:tcPr>
            <w:tcW w:w="2250" w:type="dxa"/>
            <w:tcBorders>
              <w:top w:val="nil"/>
              <w:left w:val="nil"/>
              <w:bottom w:val="single" w:sz="4" w:space="0" w:color="auto"/>
              <w:right w:val="single" w:sz="4" w:space="0" w:color="auto"/>
            </w:tcBorders>
            <w:vAlign w:val="center"/>
            <w:hideMark/>
          </w:tcPr>
          <w:p w14:paraId="3A62B2FD"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global mobility</w:t>
            </w:r>
          </w:p>
        </w:tc>
      </w:tr>
      <w:tr w:rsidR="00453770" w:rsidRPr="00E10CE8" w14:paraId="6006F498"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074C1DBF"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0E1DDDF7"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Talent management</w:t>
            </w:r>
          </w:p>
        </w:tc>
        <w:tc>
          <w:tcPr>
            <w:tcW w:w="2937" w:type="dxa"/>
            <w:tcBorders>
              <w:top w:val="nil"/>
              <w:left w:val="nil"/>
              <w:bottom w:val="single" w:sz="4" w:space="0" w:color="auto"/>
              <w:right w:val="single" w:sz="4" w:space="0" w:color="auto"/>
            </w:tcBorders>
            <w:vAlign w:val="center"/>
            <w:hideMark/>
          </w:tcPr>
          <w:p w14:paraId="2AD8FB56"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talent pools, career pathways</w:t>
            </w:r>
          </w:p>
        </w:tc>
        <w:tc>
          <w:tcPr>
            <w:tcW w:w="2250" w:type="dxa"/>
            <w:tcBorders>
              <w:top w:val="nil"/>
              <w:left w:val="nil"/>
              <w:bottom w:val="single" w:sz="4" w:space="0" w:color="auto"/>
              <w:right w:val="single" w:sz="4" w:space="0" w:color="auto"/>
            </w:tcBorders>
            <w:vAlign w:val="center"/>
            <w:hideMark/>
          </w:tcPr>
          <w:p w14:paraId="612EEB55"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 </w:t>
            </w:r>
          </w:p>
        </w:tc>
      </w:tr>
      <w:tr w:rsidR="00453770" w:rsidRPr="00E10CE8" w14:paraId="5D52A4C0" w14:textId="77777777" w:rsidTr="003B6EF3">
        <w:trPr>
          <w:trHeight w:val="340"/>
        </w:trPr>
        <w:tc>
          <w:tcPr>
            <w:tcW w:w="988" w:type="dxa"/>
            <w:vMerge/>
            <w:tcBorders>
              <w:top w:val="nil"/>
              <w:left w:val="single" w:sz="4" w:space="0" w:color="auto"/>
              <w:bottom w:val="single" w:sz="4" w:space="0" w:color="auto"/>
              <w:right w:val="single" w:sz="4" w:space="0" w:color="auto"/>
            </w:tcBorders>
            <w:vAlign w:val="center"/>
            <w:hideMark/>
          </w:tcPr>
          <w:p w14:paraId="05E24776" w14:textId="77777777" w:rsidR="00453770" w:rsidRPr="00E10CE8" w:rsidRDefault="00453770" w:rsidP="00E10CE8">
            <w:pPr>
              <w:spacing w:line="360" w:lineRule="auto"/>
              <w:rPr>
                <w:rFonts w:ascii="Arial" w:hAnsi="Arial" w:cs="Arial"/>
                <w:color w:val="000000"/>
                <w:sz w:val="36"/>
                <w:szCs w:val="36"/>
              </w:rPr>
            </w:pPr>
          </w:p>
        </w:tc>
        <w:tc>
          <w:tcPr>
            <w:tcW w:w="2835" w:type="dxa"/>
            <w:tcBorders>
              <w:top w:val="nil"/>
              <w:left w:val="nil"/>
              <w:bottom w:val="single" w:sz="4" w:space="0" w:color="auto"/>
              <w:right w:val="single" w:sz="4" w:space="0" w:color="auto"/>
            </w:tcBorders>
            <w:noWrap/>
            <w:vAlign w:val="bottom"/>
            <w:hideMark/>
          </w:tcPr>
          <w:p w14:paraId="54DC1DFB"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Wellbeing</w:t>
            </w:r>
          </w:p>
        </w:tc>
        <w:tc>
          <w:tcPr>
            <w:tcW w:w="2937" w:type="dxa"/>
            <w:tcBorders>
              <w:top w:val="nil"/>
              <w:left w:val="nil"/>
              <w:bottom w:val="single" w:sz="4" w:space="0" w:color="auto"/>
              <w:right w:val="single" w:sz="4" w:space="0" w:color="auto"/>
            </w:tcBorders>
            <w:vAlign w:val="center"/>
            <w:hideMark/>
          </w:tcPr>
          <w:p w14:paraId="1B771528" w14:textId="77777777" w:rsidR="00453770" w:rsidRPr="00E10CE8" w:rsidRDefault="00453770" w:rsidP="00E10CE8">
            <w:pPr>
              <w:spacing w:line="360" w:lineRule="auto"/>
              <w:jc w:val="center"/>
              <w:rPr>
                <w:rFonts w:ascii="Arial" w:hAnsi="Arial" w:cs="Arial"/>
                <w:color w:val="000000"/>
                <w:sz w:val="36"/>
                <w:szCs w:val="36"/>
              </w:rPr>
            </w:pPr>
            <w:r w:rsidRPr="00E10CE8">
              <w:rPr>
                <w:rFonts w:ascii="Arial" w:hAnsi="Arial" w:cs="Arial"/>
                <w:color w:val="000000"/>
                <w:sz w:val="36"/>
                <w:szCs w:val="36"/>
              </w:rPr>
              <w:t>wellbeing capability, benefits</w:t>
            </w:r>
          </w:p>
        </w:tc>
        <w:tc>
          <w:tcPr>
            <w:tcW w:w="2250" w:type="dxa"/>
            <w:tcBorders>
              <w:top w:val="nil"/>
              <w:left w:val="nil"/>
              <w:bottom w:val="single" w:sz="4" w:space="0" w:color="auto"/>
              <w:right w:val="single" w:sz="4" w:space="0" w:color="auto"/>
            </w:tcBorders>
            <w:vAlign w:val="center"/>
            <w:hideMark/>
          </w:tcPr>
          <w:p w14:paraId="42735362" w14:textId="77777777" w:rsidR="00453770" w:rsidRPr="00E10CE8" w:rsidRDefault="00453770" w:rsidP="00BE2622">
            <w:pPr>
              <w:keepNext/>
              <w:spacing w:line="360" w:lineRule="auto"/>
              <w:jc w:val="center"/>
              <w:rPr>
                <w:rFonts w:ascii="Arial" w:hAnsi="Arial" w:cs="Arial"/>
                <w:color w:val="000000"/>
                <w:sz w:val="36"/>
                <w:szCs w:val="36"/>
              </w:rPr>
            </w:pPr>
            <w:r w:rsidRPr="00E10CE8">
              <w:rPr>
                <w:rFonts w:ascii="Arial" w:hAnsi="Arial" w:cs="Arial"/>
                <w:color w:val="000000"/>
                <w:sz w:val="36"/>
                <w:szCs w:val="36"/>
              </w:rPr>
              <w:t> </w:t>
            </w:r>
          </w:p>
        </w:tc>
      </w:tr>
    </w:tbl>
    <w:p w14:paraId="36F2CF73" w14:textId="47816978" w:rsidR="00453770" w:rsidRPr="00E10CE8" w:rsidRDefault="00BE2622" w:rsidP="00BE2622">
      <w:pPr>
        <w:pStyle w:val="Caption"/>
        <w:rPr>
          <w:rFonts w:cs="Arial"/>
        </w:rPr>
      </w:pPr>
      <w:r>
        <w:t xml:space="preserve">Table </w:t>
      </w:r>
      <w:fldSimple w:instr=" SEQ Table \* ARABIC ">
        <w:r>
          <w:rPr>
            <w:noProof/>
          </w:rPr>
          <w:t>4</w:t>
        </w:r>
      </w:fldSimple>
      <w:r>
        <w:t xml:space="preserve"> CIPD's professional map reflection</w:t>
      </w:r>
    </w:p>
    <w:p w14:paraId="1EB3F37A" w14:textId="77777777" w:rsidR="00F24E28" w:rsidRPr="00E10CE8" w:rsidRDefault="00F24E28" w:rsidP="00E10CE8">
      <w:pPr>
        <w:spacing w:line="360" w:lineRule="auto"/>
        <w:jc w:val="both"/>
        <w:rPr>
          <w:rFonts w:ascii="Arial" w:hAnsi="Arial" w:cs="Arial"/>
        </w:rPr>
      </w:pPr>
    </w:p>
    <w:p w14:paraId="54369D10" w14:textId="77777777" w:rsidR="00F24E28" w:rsidRPr="00E10CE8" w:rsidRDefault="00F24E28" w:rsidP="00E10CE8">
      <w:pPr>
        <w:spacing w:line="360" w:lineRule="auto"/>
        <w:jc w:val="both"/>
        <w:rPr>
          <w:rFonts w:ascii="Arial" w:hAnsi="Arial" w:cs="Arial"/>
        </w:rPr>
      </w:pPr>
    </w:p>
    <w:p w14:paraId="2548FD9A" w14:textId="5E33363D" w:rsidR="00F24E28" w:rsidRPr="00E10CE8" w:rsidRDefault="00B738AA" w:rsidP="00E10CE8">
      <w:pPr>
        <w:spacing w:line="360" w:lineRule="auto"/>
        <w:jc w:val="both"/>
        <w:rPr>
          <w:rFonts w:ascii="Arial" w:hAnsi="Arial" w:cs="Arial"/>
        </w:rPr>
      </w:pPr>
      <w:r>
        <w:rPr>
          <w:rFonts w:ascii="Arial" w:hAnsi="Arial" w:cs="Arial"/>
        </w:rPr>
        <w:t>done</w:t>
      </w:r>
    </w:p>
    <w:p w14:paraId="0309A249" w14:textId="77777777" w:rsidR="00F24E28" w:rsidRPr="00E10CE8" w:rsidRDefault="00F24E28" w:rsidP="00E10CE8">
      <w:pPr>
        <w:spacing w:line="360" w:lineRule="auto"/>
        <w:jc w:val="both"/>
        <w:rPr>
          <w:rFonts w:ascii="Arial" w:hAnsi="Arial" w:cs="Arial"/>
        </w:rPr>
      </w:pPr>
    </w:p>
    <w:p w14:paraId="51A13742" w14:textId="77777777" w:rsidR="00F24E28" w:rsidRPr="00E10CE8" w:rsidRDefault="00F24E28" w:rsidP="00E10CE8">
      <w:pPr>
        <w:spacing w:line="360" w:lineRule="auto"/>
        <w:jc w:val="both"/>
        <w:rPr>
          <w:rFonts w:ascii="Arial" w:hAnsi="Arial" w:cs="Arial"/>
        </w:rPr>
      </w:pPr>
    </w:p>
    <w:p w14:paraId="7BB6F88C" w14:textId="77777777" w:rsidR="00F24E28" w:rsidRPr="00E10CE8" w:rsidRDefault="00F24E28" w:rsidP="00E10CE8">
      <w:pPr>
        <w:spacing w:line="360" w:lineRule="auto"/>
        <w:jc w:val="both"/>
        <w:rPr>
          <w:rFonts w:ascii="Arial" w:hAnsi="Arial" w:cs="Arial"/>
        </w:rPr>
      </w:pPr>
    </w:p>
    <w:p w14:paraId="40B506A2" w14:textId="77777777" w:rsidR="00F24E28" w:rsidRPr="00E10CE8" w:rsidRDefault="00F24E28" w:rsidP="00E10CE8">
      <w:pPr>
        <w:spacing w:line="360" w:lineRule="auto"/>
        <w:jc w:val="both"/>
        <w:rPr>
          <w:rFonts w:ascii="Arial" w:hAnsi="Arial" w:cs="Arial"/>
        </w:rPr>
      </w:pPr>
    </w:p>
    <w:p w14:paraId="668C5E23" w14:textId="77777777" w:rsidR="00F24E28" w:rsidRPr="00E10CE8" w:rsidRDefault="00F24E28" w:rsidP="00E10CE8">
      <w:pPr>
        <w:spacing w:line="360" w:lineRule="auto"/>
        <w:jc w:val="both"/>
        <w:rPr>
          <w:rFonts w:ascii="Arial" w:hAnsi="Arial" w:cs="Arial"/>
        </w:rPr>
      </w:pPr>
    </w:p>
    <w:p w14:paraId="6A47C394" w14:textId="77777777" w:rsidR="00F24E28" w:rsidRPr="00E10CE8" w:rsidRDefault="00F24E28" w:rsidP="00E10CE8">
      <w:pPr>
        <w:spacing w:line="360" w:lineRule="auto"/>
        <w:jc w:val="both"/>
        <w:rPr>
          <w:rFonts w:ascii="Arial" w:hAnsi="Arial" w:cs="Arial"/>
        </w:rPr>
      </w:pPr>
    </w:p>
    <w:p w14:paraId="19F66FC5" w14:textId="77777777" w:rsidR="00F24E28" w:rsidRPr="00E10CE8" w:rsidRDefault="00F24E28" w:rsidP="00E10CE8">
      <w:pPr>
        <w:spacing w:line="360" w:lineRule="auto"/>
        <w:jc w:val="both"/>
        <w:rPr>
          <w:rFonts w:ascii="Arial" w:hAnsi="Arial" w:cs="Arial"/>
        </w:rPr>
      </w:pPr>
    </w:p>
    <w:p w14:paraId="613A1471" w14:textId="77777777" w:rsidR="00F24E28" w:rsidRPr="00E10CE8" w:rsidRDefault="00F24E28" w:rsidP="00E10CE8">
      <w:pPr>
        <w:spacing w:line="360" w:lineRule="auto"/>
        <w:jc w:val="both"/>
        <w:rPr>
          <w:rFonts w:ascii="Arial" w:hAnsi="Arial" w:cs="Arial"/>
        </w:rPr>
      </w:pPr>
    </w:p>
    <w:p w14:paraId="07B1AE9A" w14:textId="77777777" w:rsidR="00F24E28" w:rsidRDefault="00F24E28" w:rsidP="00E10CE8">
      <w:pPr>
        <w:spacing w:line="360" w:lineRule="auto"/>
        <w:jc w:val="both"/>
        <w:rPr>
          <w:rFonts w:ascii="Arial" w:hAnsi="Arial" w:cs="Arial"/>
        </w:rPr>
      </w:pPr>
    </w:p>
    <w:p w14:paraId="212E5B92" w14:textId="77777777" w:rsidR="00A23603" w:rsidRDefault="00A23603" w:rsidP="00E10CE8">
      <w:pPr>
        <w:spacing w:line="360" w:lineRule="auto"/>
        <w:jc w:val="both"/>
        <w:rPr>
          <w:rFonts w:ascii="Arial" w:hAnsi="Arial" w:cs="Arial"/>
        </w:rPr>
      </w:pPr>
    </w:p>
    <w:p w14:paraId="45CC5EA6" w14:textId="77777777" w:rsidR="00A23603" w:rsidRDefault="00A23603" w:rsidP="00E10CE8">
      <w:pPr>
        <w:spacing w:line="360" w:lineRule="auto"/>
        <w:jc w:val="both"/>
        <w:rPr>
          <w:rFonts w:ascii="Arial" w:hAnsi="Arial" w:cs="Arial"/>
        </w:rPr>
      </w:pPr>
    </w:p>
    <w:p w14:paraId="2C59E888" w14:textId="77777777" w:rsidR="00A23603" w:rsidRDefault="00A23603" w:rsidP="00E10CE8">
      <w:pPr>
        <w:spacing w:line="360" w:lineRule="auto"/>
        <w:jc w:val="both"/>
        <w:rPr>
          <w:rFonts w:ascii="Arial" w:hAnsi="Arial" w:cs="Arial"/>
        </w:rPr>
      </w:pPr>
    </w:p>
    <w:p w14:paraId="164F60DA" w14:textId="77777777" w:rsidR="00A23603" w:rsidRDefault="00A23603" w:rsidP="00E10CE8">
      <w:pPr>
        <w:spacing w:line="360" w:lineRule="auto"/>
        <w:jc w:val="both"/>
        <w:rPr>
          <w:rFonts w:ascii="Arial" w:hAnsi="Arial" w:cs="Arial"/>
        </w:rPr>
      </w:pPr>
    </w:p>
    <w:p w14:paraId="339B40CA" w14:textId="77777777" w:rsidR="00A23603" w:rsidRPr="00E10CE8" w:rsidRDefault="00A23603" w:rsidP="00E10CE8">
      <w:pPr>
        <w:spacing w:line="360" w:lineRule="auto"/>
        <w:jc w:val="both"/>
        <w:rPr>
          <w:rFonts w:ascii="Arial" w:hAnsi="Arial" w:cs="Arial"/>
        </w:rPr>
      </w:pPr>
    </w:p>
    <w:p w14:paraId="50D2BF7F" w14:textId="77777777" w:rsidR="008717EA" w:rsidRPr="001F67B8" w:rsidRDefault="008717EA" w:rsidP="001F67B8">
      <w:pPr>
        <w:pStyle w:val="Heading1"/>
      </w:pPr>
      <w:bookmarkStart w:id="10" w:name="_Toc236867895"/>
      <w:r w:rsidRPr="001F67B8">
        <w:lastRenderedPageBreak/>
        <w:t>References</w:t>
      </w:r>
      <w:bookmarkEnd w:id="10"/>
    </w:p>
    <w:p w14:paraId="685DFBB3" w14:textId="5FE51EAF" w:rsidR="008717EA" w:rsidRPr="00E10CE8" w:rsidRDefault="008717EA" w:rsidP="00A23603">
      <w:pPr>
        <w:ind w:left="567" w:hanging="567"/>
        <w:rPr>
          <w:rFonts w:cs="Arial"/>
        </w:rPr>
      </w:pPr>
      <w:r w:rsidRPr="00E10CE8">
        <w:rPr>
          <w:rFonts w:cs="Arial"/>
        </w:rPr>
        <w:t xml:space="preserve">Adams, J. S. (1965). Inequity in social exchange. Advances in Experimental Social Psychology, 2, 267–299. </w:t>
      </w:r>
      <w:hyperlink r:id="rId10" w:history="1">
        <w:r w:rsidR="00A23603" w:rsidRPr="00DD63DC">
          <w:rPr>
            <w:rStyle w:val="Hyperlink"/>
            <w:rFonts w:cs="Arial"/>
          </w:rPr>
          <w:t>https://doi.org/10.1016/S0065-2601(08)60108-2</w:t>
        </w:r>
      </w:hyperlink>
      <w:r w:rsidR="00A23603">
        <w:rPr>
          <w:rFonts w:cs="Arial"/>
        </w:rPr>
        <w:t xml:space="preserve"> </w:t>
      </w:r>
    </w:p>
    <w:p w14:paraId="788DF723" w14:textId="2FB4AB1C" w:rsidR="008717EA" w:rsidRPr="00E10CE8" w:rsidRDefault="008717EA" w:rsidP="00A23603">
      <w:pPr>
        <w:ind w:left="567" w:hanging="567"/>
        <w:rPr>
          <w:rFonts w:cs="Arial"/>
        </w:rPr>
      </w:pPr>
      <w:r w:rsidRPr="00E10CE8">
        <w:rPr>
          <w:rFonts w:cs="Arial"/>
        </w:rPr>
        <w:t xml:space="preserve">Angel One. (2025). TCS, Infosys, HCL Tech &amp; Wipro: A quick look at attrition rates and headcount in Q1FY26. </w:t>
      </w:r>
      <w:hyperlink r:id="rId11" w:history="1">
        <w:r w:rsidR="00A23603" w:rsidRPr="00DD63DC">
          <w:rPr>
            <w:rStyle w:val="Hyperlink"/>
            <w:rFonts w:cs="Arial"/>
          </w:rPr>
          <w:t>https://www.angelone.in/news/share-market/tcs-infosys-hcl-tech-wipro-a-quick-look-at-attrition-rates-and-headcount-in-q1fy26</w:t>
        </w:r>
      </w:hyperlink>
      <w:r w:rsidR="00A23603">
        <w:rPr>
          <w:rFonts w:cs="Arial"/>
        </w:rPr>
        <w:t xml:space="preserve"> </w:t>
      </w:r>
    </w:p>
    <w:p w14:paraId="794EF63E" w14:textId="77777777" w:rsidR="008717EA" w:rsidRPr="00E10CE8" w:rsidRDefault="008717EA" w:rsidP="00A23603">
      <w:pPr>
        <w:ind w:left="567" w:hanging="567"/>
        <w:rPr>
          <w:rFonts w:cs="Arial"/>
        </w:rPr>
      </w:pPr>
      <w:r w:rsidRPr="00E10CE8">
        <w:rPr>
          <w:rFonts w:cs="Arial"/>
        </w:rPr>
        <w:t>Armstrong, M., &amp; Brown, D. (2019). Armstrong's handbook of reward management practice (6th ed.). Kogan Page.</w:t>
      </w:r>
    </w:p>
    <w:p w14:paraId="6549A461" w14:textId="77777777" w:rsidR="008717EA" w:rsidRPr="00E10CE8" w:rsidRDefault="008717EA" w:rsidP="00A23603">
      <w:pPr>
        <w:ind w:left="567" w:hanging="567"/>
        <w:rPr>
          <w:rFonts w:cs="Arial"/>
        </w:rPr>
      </w:pPr>
      <w:r w:rsidRPr="00E10CE8">
        <w:rPr>
          <w:rFonts w:cs="Arial"/>
        </w:rPr>
        <w:t>Armstrong, M., &amp; Taylor, S. (2023). Armstrong's handbook of human resource management practice (16th ed.). Kogan Page.</w:t>
      </w:r>
    </w:p>
    <w:p w14:paraId="553400D1" w14:textId="4503BA58" w:rsidR="008717EA" w:rsidRPr="00E10CE8" w:rsidRDefault="008717EA" w:rsidP="00A23603">
      <w:pPr>
        <w:ind w:left="567" w:hanging="567"/>
        <w:rPr>
          <w:rFonts w:cs="Arial"/>
        </w:rPr>
      </w:pPr>
      <w:r w:rsidRPr="00E10CE8">
        <w:rPr>
          <w:rFonts w:cs="Arial"/>
        </w:rPr>
        <w:t xml:space="preserve">Backhaus, K., &amp; Tikoo, S. (2004). Conceptualizing and researching employer branding. Career Development International, 9(5), 501–517. </w:t>
      </w:r>
      <w:hyperlink r:id="rId12" w:history="1">
        <w:r w:rsidR="00A23603" w:rsidRPr="00DD63DC">
          <w:rPr>
            <w:rStyle w:val="Hyperlink"/>
            <w:rFonts w:cs="Arial"/>
          </w:rPr>
          <w:t>https://doi.org/10.1108/13620430410550754</w:t>
        </w:r>
      </w:hyperlink>
      <w:r w:rsidR="00A23603">
        <w:rPr>
          <w:rFonts w:cs="Arial"/>
        </w:rPr>
        <w:t xml:space="preserve"> </w:t>
      </w:r>
    </w:p>
    <w:p w14:paraId="47103B20" w14:textId="75E34078" w:rsidR="008717EA" w:rsidRPr="00E10CE8" w:rsidRDefault="008717EA" w:rsidP="00A23603">
      <w:pPr>
        <w:ind w:left="567" w:hanging="567"/>
        <w:rPr>
          <w:rFonts w:cs="Arial"/>
        </w:rPr>
      </w:pPr>
      <w:r w:rsidRPr="00E10CE8">
        <w:rPr>
          <w:rFonts w:cs="Arial"/>
        </w:rPr>
        <w:t xml:space="preserve">Bakker, A. B., &amp; Demerouti, E. (2017). Job demands–resources theory: Taking stock and looking forward. Journal of Occupational Health Psychology, 22(3), 273–285. </w:t>
      </w:r>
      <w:hyperlink r:id="rId13" w:history="1">
        <w:r w:rsidR="00A23603" w:rsidRPr="00DD63DC">
          <w:rPr>
            <w:rStyle w:val="Hyperlink"/>
            <w:rFonts w:cs="Arial"/>
          </w:rPr>
          <w:t>https://doi.org/10.1037/ocp0000056</w:t>
        </w:r>
      </w:hyperlink>
      <w:r w:rsidR="00A23603">
        <w:rPr>
          <w:rFonts w:cs="Arial"/>
        </w:rPr>
        <w:t xml:space="preserve"> </w:t>
      </w:r>
    </w:p>
    <w:p w14:paraId="54B9155D" w14:textId="5E0E01E7" w:rsidR="008717EA" w:rsidRPr="00E10CE8" w:rsidRDefault="008717EA" w:rsidP="00A23603">
      <w:pPr>
        <w:ind w:left="567" w:hanging="567"/>
        <w:rPr>
          <w:rFonts w:cs="Arial"/>
        </w:rPr>
      </w:pPr>
      <w:r w:rsidRPr="00E10CE8">
        <w:rPr>
          <w:rFonts w:cs="Arial"/>
        </w:rPr>
        <w:t xml:space="preserve">Baldwin, T. T., &amp; Ford, J. K. (1988). Transfer of training: A review and directions for future research. Personnel Psychology, 41(1), 63–105. </w:t>
      </w:r>
      <w:hyperlink r:id="rId14" w:history="1">
        <w:r w:rsidR="00A23603" w:rsidRPr="00DD63DC">
          <w:rPr>
            <w:rStyle w:val="Hyperlink"/>
            <w:rFonts w:cs="Arial"/>
          </w:rPr>
          <w:t>https://doi.org/10.1111/j.1744-6570.1988.tb00632.x</w:t>
        </w:r>
      </w:hyperlink>
      <w:r w:rsidR="00A23603">
        <w:rPr>
          <w:rFonts w:cs="Arial"/>
        </w:rPr>
        <w:t xml:space="preserve"> </w:t>
      </w:r>
    </w:p>
    <w:p w14:paraId="5B756959" w14:textId="77777777" w:rsidR="008717EA" w:rsidRPr="00E10CE8" w:rsidRDefault="008717EA" w:rsidP="00A23603">
      <w:pPr>
        <w:ind w:left="567" w:hanging="567"/>
        <w:rPr>
          <w:rFonts w:cs="Arial"/>
        </w:rPr>
      </w:pPr>
      <w:r w:rsidRPr="00E10CE8">
        <w:rPr>
          <w:rFonts w:cs="Arial"/>
        </w:rPr>
        <w:t>Bassett-Jones, N. (2023). Strategic human resource management: A systems approach. Routledge.</w:t>
      </w:r>
    </w:p>
    <w:p w14:paraId="42576FFF" w14:textId="77777777" w:rsidR="008717EA" w:rsidRPr="00E10CE8" w:rsidRDefault="008717EA" w:rsidP="00A23603">
      <w:pPr>
        <w:ind w:left="567" w:hanging="567"/>
        <w:rPr>
          <w:rFonts w:cs="Arial"/>
        </w:rPr>
      </w:pPr>
      <w:r w:rsidRPr="00E10CE8">
        <w:rPr>
          <w:rFonts w:cs="Arial"/>
        </w:rPr>
        <w:t>Breaugh, J. A. (2013). Employee recruitment. Annual Review of Psychology, 64, 389–416. https://doi.org/10.1146/annurev-psych-113011-143757</w:t>
      </w:r>
    </w:p>
    <w:p w14:paraId="2F705C5C" w14:textId="77777777" w:rsidR="008717EA" w:rsidRPr="00E10CE8" w:rsidRDefault="008717EA" w:rsidP="00A23603">
      <w:pPr>
        <w:ind w:left="567" w:hanging="567"/>
        <w:rPr>
          <w:rFonts w:cs="Arial"/>
        </w:rPr>
      </w:pPr>
      <w:r w:rsidRPr="00E10CE8">
        <w:rPr>
          <w:rFonts w:cs="Arial"/>
        </w:rPr>
        <w:t>Business Standard. (2025, February 6). TCS cuts quarterly variable pay for senior staff despite return to office. https://www.business-standard.com/companies/news/tcs-variable-pay-cut-senior-employees-q3fy25-work-from-office-policy-125020600976_1.html</w:t>
      </w:r>
    </w:p>
    <w:p w14:paraId="0493FD48" w14:textId="77777777" w:rsidR="008717EA" w:rsidRPr="00E10CE8" w:rsidRDefault="008717EA" w:rsidP="00A23603">
      <w:pPr>
        <w:ind w:left="567" w:hanging="567"/>
        <w:rPr>
          <w:rFonts w:cs="Arial"/>
        </w:rPr>
      </w:pPr>
      <w:r w:rsidRPr="00E10CE8">
        <w:rPr>
          <w:rFonts w:cs="Arial"/>
        </w:rPr>
        <w:t>Campion, M. A., Palmer, D. K., &amp; Campion, J. E. (1997). A review of structure in the selection interview. Personnel Psychology, 50(3), 655–702. https://doi.org/10.1111/j.1744-6570.1997.tb00709.x</w:t>
      </w:r>
    </w:p>
    <w:p w14:paraId="3C686E0D" w14:textId="77777777" w:rsidR="008717EA" w:rsidRPr="00E10CE8" w:rsidRDefault="008717EA" w:rsidP="00A23603">
      <w:pPr>
        <w:ind w:left="567" w:hanging="567"/>
        <w:rPr>
          <w:rFonts w:cs="Arial"/>
        </w:rPr>
      </w:pPr>
      <w:r w:rsidRPr="00E10CE8">
        <w:rPr>
          <w:rFonts w:cs="Arial"/>
        </w:rPr>
        <w:t>Chartered Institute of Personnel and Development. (n.d.). Learning and development: Specialist knowledge. CIPD. Retrieved August 5, 2026, from https://www.cipd.org/uk/the-people-profession/the-profession-map/explore-the-profession-map/specialist-knowledge/learning-development/</w:t>
      </w:r>
    </w:p>
    <w:p w14:paraId="0D52B9B9" w14:textId="77777777" w:rsidR="008717EA" w:rsidRPr="00E10CE8" w:rsidRDefault="008717EA" w:rsidP="00A23603">
      <w:pPr>
        <w:ind w:left="567" w:hanging="567"/>
        <w:rPr>
          <w:rFonts w:cs="Arial"/>
        </w:rPr>
      </w:pPr>
      <w:r w:rsidRPr="00E10CE8">
        <w:rPr>
          <w:rFonts w:cs="Arial"/>
        </w:rPr>
        <w:t>Collings, D. G., Wood, G. T., &amp; Szamosi, L. T. (Eds.). (2019). Human resource management: A critical approach (2nd ed.). Routledge.</w:t>
      </w:r>
    </w:p>
    <w:p w14:paraId="39ABAF3F" w14:textId="77777777" w:rsidR="008717EA" w:rsidRPr="00E10CE8" w:rsidRDefault="008717EA" w:rsidP="00A23603">
      <w:pPr>
        <w:ind w:left="567" w:hanging="567"/>
        <w:rPr>
          <w:rFonts w:cs="Arial"/>
        </w:rPr>
      </w:pPr>
      <w:r w:rsidRPr="00E10CE8">
        <w:rPr>
          <w:rFonts w:cs="Arial"/>
        </w:rPr>
        <w:t>Deloitte. (2013). Business driven HR: Unlock the value of HR business partners. Deloitte.</w:t>
      </w:r>
    </w:p>
    <w:p w14:paraId="0A6ED0D7" w14:textId="77777777" w:rsidR="008717EA" w:rsidRPr="00E10CE8" w:rsidRDefault="008717EA" w:rsidP="00A23603">
      <w:pPr>
        <w:ind w:left="567" w:hanging="567"/>
        <w:rPr>
          <w:rFonts w:cs="Arial"/>
        </w:rPr>
      </w:pPr>
      <w:r w:rsidRPr="00E10CE8">
        <w:rPr>
          <w:rFonts w:cs="Arial"/>
        </w:rPr>
        <w:t>Glassdoor. (n.d.). Tata Consultancy Services reviews. Retrieved August 3, 2026, from https://www.glassdoor.co.uk/Reviews/Tata-Consultancy-Services-Reviews-E13461.htm</w:t>
      </w:r>
    </w:p>
    <w:p w14:paraId="584E907C" w14:textId="77777777" w:rsidR="008717EA" w:rsidRPr="00E10CE8" w:rsidRDefault="008717EA" w:rsidP="00A23603">
      <w:pPr>
        <w:ind w:left="567" w:hanging="567"/>
        <w:rPr>
          <w:rFonts w:cs="Arial"/>
        </w:rPr>
      </w:pPr>
      <w:r w:rsidRPr="00E10CE8">
        <w:rPr>
          <w:rFonts w:cs="Arial"/>
        </w:rPr>
        <w:t>Guest, D. E. (2017). Human resource management and employee well-being: Towards a new analytic framework. Human Resource Management Journal, 27(1), 22–38. https://doi.org/10.1111/1748-8583.12139</w:t>
      </w:r>
    </w:p>
    <w:p w14:paraId="5909D0B8" w14:textId="77777777" w:rsidR="008717EA" w:rsidRPr="00E10CE8" w:rsidRDefault="008717EA" w:rsidP="00A23603">
      <w:pPr>
        <w:ind w:left="567" w:hanging="567"/>
        <w:rPr>
          <w:rFonts w:cs="Arial"/>
        </w:rPr>
      </w:pPr>
      <w:r w:rsidRPr="00E10CE8">
        <w:rPr>
          <w:rFonts w:cs="Arial"/>
        </w:rPr>
        <w:t>Heenan, D. A., &amp; Perlmutter, H. V. (1979). Multinational organization development: A social architectural perspective. Addison-Wesley.</w:t>
      </w:r>
    </w:p>
    <w:p w14:paraId="6898FD5B" w14:textId="77777777" w:rsidR="008717EA" w:rsidRPr="00E10CE8" w:rsidRDefault="008717EA" w:rsidP="00A23603">
      <w:pPr>
        <w:ind w:left="567" w:hanging="567"/>
        <w:rPr>
          <w:rFonts w:cs="Arial"/>
        </w:rPr>
      </w:pPr>
      <w:r w:rsidRPr="00E10CE8">
        <w:rPr>
          <w:rFonts w:cs="Arial"/>
        </w:rPr>
        <w:t>Hofstede Insights. (n.d.). Country comparison: India. Retrieved August 3, 2026, from https://www.hofstede-insights.com/country-comparison/india/</w:t>
      </w:r>
    </w:p>
    <w:p w14:paraId="503C7615" w14:textId="77777777" w:rsidR="008717EA" w:rsidRPr="00E10CE8" w:rsidRDefault="008717EA" w:rsidP="00A23603">
      <w:pPr>
        <w:ind w:left="567" w:hanging="567"/>
        <w:rPr>
          <w:rFonts w:cs="Arial"/>
        </w:rPr>
      </w:pPr>
      <w:r w:rsidRPr="00E10CE8">
        <w:rPr>
          <w:rFonts w:cs="Arial"/>
        </w:rPr>
        <w:lastRenderedPageBreak/>
        <w:t>Ibrahim, A. E. L. A. A. (2015). HR as a strategic business partner: Challenges and opportunities [Master's dissertation, The British University in Dubai]. BUiD Digital Repository.</w:t>
      </w:r>
    </w:p>
    <w:p w14:paraId="3A8ADE4B" w14:textId="77777777" w:rsidR="008717EA" w:rsidRPr="00E10CE8" w:rsidRDefault="008717EA" w:rsidP="00A23603">
      <w:pPr>
        <w:ind w:left="567" w:hanging="567"/>
        <w:rPr>
          <w:rFonts w:cs="Arial"/>
        </w:rPr>
      </w:pPr>
      <w:r w:rsidRPr="00E10CE8">
        <w:rPr>
          <w:rFonts w:cs="Arial"/>
        </w:rPr>
        <w:t>Kiradoo, G. (2022). Diversity, equity, and inclusion in the workplace: Strategies for achieving and sustaining a diverse workforce. Advance Research in Social Science and Management.</w:t>
      </w:r>
    </w:p>
    <w:p w14:paraId="7C7EB4D7" w14:textId="77777777" w:rsidR="008717EA" w:rsidRPr="00E10CE8" w:rsidRDefault="008717EA" w:rsidP="00A23603">
      <w:pPr>
        <w:ind w:left="567" w:hanging="567"/>
        <w:rPr>
          <w:rFonts w:cs="Arial"/>
        </w:rPr>
      </w:pPr>
      <w:r w:rsidRPr="00E10CE8">
        <w:rPr>
          <w:rFonts w:cs="Arial"/>
        </w:rPr>
        <w:t>Kirkpatrick, J. D., &amp; Kirkpatrick, W. K. (2016). Kirkpatrick's four levels of training evaluation. ATD Press.</w:t>
      </w:r>
    </w:p>
    <w:p w14:paraId="23EC94E4" w14:textId="77777777" w:rsidR="008717EA" w:rsidRPr="00E10CE8" w:rsidRDefault="008717EA" w:rsidP="00A23603">
      <w:pPr>
        <w:ind w:left="567" w:hanging="567"/>
        <w:rPr>
          <w:rFonts w:cs="Arial"/>
        </w:rPr>
      </w:pPr>
      <w:r w:rsidRPr="00E10CE8">
        <w:rPr>
          <w:rFonts w:cs="Arial"/>
        </w:rPr>
        <w:t>Knowles, M. S., Holton, E. F., &amp; Swanson, R. A. (2020). The adult learner: The definitive classic in adult education and human resource development (9th ed.). Routledge.</w:t>
      </w:r>
    </w:p>
    <w:p w14:paraId="4618C12D" w14:textId="77777777" w:rsidR="008717EA" w:rsidRPr="00E10CE8" w:rsidRDefault="008717EA" w:rsidP="00A23603">
      <w:pPr>
        <w:ind w:left="567" w:hanging="567"/>
        <w:rPr>
          <w:rFonts w:cs="Arial"/>
        </w:rPr>
      </w:pPr>
      <w:r w:rsidRPr="00E10CE8">
        <w:rPr>
          <w:rFonts w:cs="Arial"/>
        </w:rPr>
        <w:t>Kolb, D. A. (1984). Experiential learning: Experience as the source of learning and development. Prentice Hall.</w:t>
      </w:r>
    </w:p>
    <w:p w14:paraId="2683FD12" w14:textId="77777777" w:rsidR="008717EA" w:rsidRPr="00E10CE8" w:rsidRDefault="008717EA" w:rsidP="00A23603">
      <w:pPr>
        <w:ind w:left="567" w:hanging="567"/>
        <w:rPr>
          <w:rFonts w:cs="Arial"/>
        </w:rPr>
      </w:pPr>
      <w:r w:rsidRPr="00E10CE8">
        <w:rPr>
          <w:rFonts w:cs="Arial"/>
        </w:rPr>
        <w:t>Kushwaha, R. K., Yadav, P. K., Dwivedi, D. P., &amp; Kushwaha, A. (2024). Diversity, equity &amp; inclusion. Blue Rose Publishers.</w:t>
      </w:r>
    </w:p>
    <w:p w14:paraId="30906AAA" w14:textId="77777777" w:rsidR="008717EA" w:rsidRPr="00E10CE8" w:rsidRDefault="008717EA" w:rsidP="00A23603">
      <w:pPr>
        <w:ind w:left="567" w:hanging="567"/>
        <w:rPr>
          <w:rFonts w:cs="Arial"/>
        </w:rPr>
      </w:pPr>
      <w:r w:rsidRPr="00E10CE8">
        <w:rPr>
          <w:rFonts w:cs="Arial"/>
        </w:rPr>
        <w:t>levels.fyi. (n.d.). Compare benefits. Retrieved August 3, 2026, from https://www.levels.fyi/benefits/</w:t>
      </w:r>
    </w:p>
    <w:p w14:paraId="2F58CE68" w14:textId="77777777" w:rsidR="008717EA" w:rsidRPr="00E10CE8" w:rsidRDefault="008717EA" w:rsidP="00A23603">
      <w:pPr>
        <w:ind w:left="567" w:hanging="567"/>
        <w:rPr>
          <w:rFonts w:cs="Arial"/>
        </w:rPr>
      </w:pPr>
      <w:r w:rsidRPr="00E10CE8">
        <w:rPr>
          <w:rFonts w:cs="Arial"/>
        </w:rPr>
        <w:t>Marler, J. H., &amp; Boudreau, J. W. (2017). An evidence-based review of HR analytics. The International Journal of Human Resource Management, 28(1), 3–26. https://doi.org/10.1080/09585192.2016.1244699</w:t>
      </w:r>
    </w:p>
    <w:p w14:paraId="7CF32CAA" w14:textId="77777777" w:rsidR="008717EA" w:rsidRPr="00E10CE8" w:rsidRDefault="008717EA" w:rsidP="00A23603">
      <w:pPr>
        <w:ind w:left="567" w:hanging="567"/>
        <w:rPr>
          <w:rFonts w:cs="Arial"/>
        </w:rPr>
      </w:pPr>
      <w:r w:rsidRPr="00E10CE8">
        <w:rPr>
          <w:rFonts w:cs="Arial"/>
        </w:rPr>
        <w:t>McKinsey &amp; Company. (2023, December 5). Diversity matters even more: The case for holistic impact. https://www.mckinsey.com/featured-insights/diversity-and-inclusion/diversity-matters-even-more-the-case-for-holistic-impact</w:t>
      </w:r>
    </w:p>
    <w:p w14:paraId="18058180" w14:textId="1B3F9764" w:rsidR="008717EA" w:rsidRPr="00E10CE8" w:rsidRDefault="008717EA" w:rsidP="00A23603">
      <w:pPr>
        <w:ind w:left="567" w:hanging="567"/>
        <w:rPr>
          <w:rFonts w:cs="Arial"/>
        </w:rPr>
      </w:pPr>
      <w:r w:rsidRPr="00E10CE8">
        <w:rPr>
          <w:rFonts w:cs="Arial"/>
        </w:rPr>
        <w:t xml:space="preserve">McSweeney, B. (2002). Hofstede's model of national cultural differences and their consequences: A triumph of faith – a failure of analysis. Human Relations, 55(1), 89–118. </w:t>
      </w:r>
      <w:hyperlink r:id="rId15" w:history="1">
        <w:r w:rsidR="00A23603" w:rsidRPr="00DD63DC">
          <w:rPr>
            <w:rStyle w:val="Hyperlink"/>
            <w:rFonts w:cs="Arial"/>
          </w:rPr>
          <w:t>https://doi.org/10.1177/0018726702055001602</w:t>
        </w:r>
      </w:hyperlink>
      <w:r w:rsidR="00A23603">
        <w:rPr>
          <w:rFonts w:cs="Arial"/>
        </w:rPr>
        <w:t xml:space="preserve"> </w:t>
      </w:r>
    </w:p>
    <w:p w14:paraId="2645DC33" w14:textId="77777777" w:rsidR="008717EA" w:rsidRPr="00E10CE8" w:rsidRDefault="008717EA" w:rsidP="00A23603">
      <w:pPr>
        <w:ind w:left="567" w:hanging="567"/>
        <w:rPr>
          <w:rFonts w:cs="Arial"/>
        </w:rPr>
      </w:pPr>
      <w:r w:rsidRPr="00E10CE8">
        <w:rPr>
          <w:rFonts w:cs="Arial"/>
        </w:rPr>
        <w:t>People Matters. (2025). TCS confirms 12,000 layoffs by FY26 in strategic workforce realignment. https://www.peoplematters.in/news/performance-management/tcs-announces-12000-layoffs-by-fy26-in-strategic-workforce-realignment-42242</w:t>
      </w:r>
    </w:p>
    <w:p w14:paraId="611D5C0E" w14:textId="77777777" w:rsidR="008717EA" w:rsidRPr="00E10CE8" w:rsidRDefault="008717EA" w:rsidP="00A23603">
      <w:pPr>
        <w:ind w:left="567" w:hanging="567"/>
        <w:rPr>
          <w:rFonts w:cs="Arial"/>
        </w:rPr>
      </w:pPr>
      <w:r w:rsidRPr="00E10CE8">
        <w:rPr>
          <w:rFonts w:cs="Arial"/>
        </w:rPr>
        <w:t>Schuler, R. S., &amp; Tarique, I. (2007). International human resource management: A North American perspective, a thematic update and suggestions for future research. The International Journal of Human Resource Management, 18(5), 717–744. https://doi.org/10.1080/09585190701246590</w:t>
      </w:r>
    </w:p>
    <w:p w14:paraId="3E616286" w14:textId="77777777" w:rsidR="008717EA" w:rsidRPr="00E10CE8" w:rsidRDefault="008717EA" w:rsidP="00A23603">
      <w:pPr>
        <w:ind w:left="567" w:hanging="567"/>
        <w:rPr>
          <w:rFonts w:cs="Arial"/>
        </w:rPr>
      </w:pPr>
      <w:r w:rsidRPr="00E10CE8">
        <w:rPr>
          <w:rFonts w:cs="Arial"/>
        </w:rPr>
        <w:t>Scullion, H., &amp; Collings, D. G. (2011). Global talent management. Routledge.</w:t>
      </w:r>
    </w:p>
    <w:p w14:paraId="390D7590" w14:textId="77777777" w:rsidR="008717EA" w:rsidRPr="00E10CE8" w:rsidRDefault="008717EA" w:rsidP="00A23603">
      <w:pPr>
        <w:ind w:left="567" w:hanging="567"/>
        <w:rPr>
          <w:rFonts w:cs="Arial"/>
        </w:rPr>
      </w:pPr>
      <w:r w:rsidRPr="00E10CE8">
        <w:rPr>
          <w:rFonts w:cs="Arial"/>
        </w:rPr>
        <w:t>Shailashri, V. T., &amp; Shenoy, S. (2017). Work life balance: Case study of Tata Consultancy Services. In Balancing human work life: Challenges and perspectives (pp. 280–294). Srinivas Institute of Management Studies, Srinivas University.</w:t>
      </w:r>
    </w:p>
    <w:p w14:paraId="5463E8B5" w14:textId="77777777" w:rsidR="008717EA" w:rsidRPr="00E10CE8" w:rsidRDefault="008717EA" w:rsidP="00A23603">
      <w:pPr>
        <w:ind w:left="567" w:hanging="567"/>
        <w:rPr>
          <w:rFonts w:cs="Arial"/>
        </w:rPr>
      </w:pPr>
      <w:r w:rsidRPr="00E10CE8">
        <w:rPr>
          <w:rFonts w:cs="Arial"/>
        </w:rPr>
        <w:t>Tata Consultancy Services iON. (n.d.). National qualifier test. Retrieved August 5, 2026, from https://www.tcsion.com/hub/national-qualifier-test/</w:t>
      </w:r>
    </w:p>
    <w:p w14:paraId="17E347F7" w14:textId="77777777" w:rsidR="008717EA" w:rsidRPr="00E10CE8" w:rsidRDefault="008717EA" w:rsidP="00A23603">
      <w:pPr>
        <w:ind w:left="567" w:hanging="567"/>
        <w:rPr>
          <w:rFonts w:cs="Arial"/>
        </w:rPr>
      </w:pPr>
      <w:r w:rsidRPr="00E10CE8">
        <w:rPr>
          <w:rFonts w:cs="Arial"/>
        </w:rPr>
        <w:t>TCS. (2007). Corporate sustainability report 2006–2007. https://www.tcs.com/content/dam/tcs/pdf/discover-tcs/investor-relations/corporate-sustainability/TCS_Corporate-_Sustainability_Report_2006-2007_Final.pdf</w:t>
      </w:r>
    </w:p>
    <w:p w14:paraId="054C8AE7" w14:textId="77777777" w:rsidR="008717EA" w:rsidRPr="00E10CE8" w:rsidRDefault="008717EA" w:rsidP="00A23603">
      <w:pPr>
        <w:ind w:left="567" w:hanging="567"/>
        <w:rPr>
          <w:rFonts w:cs="Arial"/>
        </w:rPr>
      </w:pPr>
      <w:r w:rsidRPr="00E10CE8">
        <w:rPr>
          <w:rFonts w:cs="Arial"/>
        </w:rPr>
        <w:t>TCS. (2014). Corporate sustainability report 2014. https://www.tcs.com/content/dam/global-tcs/en/pdfs/who-we-are/sustainability-reports/GRI-2013-Sustainability-Report-271014.pdf</w:t>
      </w:r>
    </w:p>
    <w:p w14:paraId="64796DEC" w14:textId="77777777" w:rsidR="008717EA" w:rsidRPr="00E10CE8" w:rsidRDefault="008717EA" w:rsidP="00A23603">
      <w:pPr>
        <w:ind w:left="567" w:hanging="567"/>
        <w:rPr>
          <w:rFonts w:cs="Arial"/>
        </w:rPr>
      </w:pPr>
      <w:r w:rsidRPr="00E10CE8">
        <w:rPr>
          <w:rFonts w:cs="Arial"/>
        </w:rPr>
        <w:t>TCS. (2021). Integrated annual report 2020–21. https://www.tcs.com/investor-relations/annual-reports</w:t>
      </w:r>
    </w:p>
    <w:p w14:paraId="217AE4CE" w14:textId="77777777" w:rsidR="008717EA" w:rsidRPr="00E10CE8" w:rsidRDefault="008717EA" w:rsidP="00A23603">
      <w:pPr>
        <w:ind w:left="567" w:hanging="567"/>
        <w:rPr>
          <w:rFonts w:cs="Arial"/>
        </w:rPr>
      </w:pPr>
      <w:r w:rsidRPr="00E10CE8">
        <w:rPr>
          <w:rFonts w:cs="Arial"/>
        </w:rPr>
        <w:t>TCS. (2022). The great reimagination of work. https://www.tcs.com/insights/topics/future-of-work-topic/article/great-reimagination-work</w:t>
      </w:r>
    </w:p>
    <w:p w14:paraId="02A88629" w14:textId="77777777" w:rsidR="008717EA" w:rsidRPr="00E10CE8" w:rsidRDefault="008717EA" w:rsidP="00A23603">
      <w:pPr>
        <w:ind w:left="567" w:hanging="567"/>
        <w:rPr>
          <w:rFonts w:cs="Arial"/>
        </w:rPr>
      </w:pPr>
      <w:r w:rsidRPr="00E10CE8">
        <w:rPr>
          <w:rFonts w:cs="Arial"/>
        </w:rPr>
        <w:t>TCS. (2025, February 18). TCS named global top employer for 2025, achieves new milestone with enterprise-wide top employer certification. https://www.tcs.com/who-we-</w:t>
      </w:r>
      <w:r w:rsidRPr="00E10CE8">
        <w:rPr>
          <w:rFonts w:cs="Arial"/>
        </w:rPr>
        <w:lastRenderedPageBreak/>
        <w:t>are/newsroom/press-release/tcs-named-global-top-employer-2025-achieves-new-milestone-enterprise-wide-top-employer-certification</w:t>
      </w:r>
    </w:p>
    <w:p w14:paraId="162F85C6" w14:textId="77777777" w:rsidR="008717EA" w:rsidRPr="00E10CE8" w:rsidRDefault="008717EA" w:rsidP="00A23603">
      <w:pPr>
        <w:ind w:left="567" w:hanging="567"/>
        <w:rPr>
          <w:rFonts w:cs="Arial"/>
        </w:rPr>
      </w:pPr>
      <w:r w:rsidRPr="00E10CE8">
        <w:rPr>
          <w:rFonts w:cs="Arial"/>
        </w:rPr>
        <w:t>TCS. (2026a). TCS annual report 2025–26. https://www.tcs.com/content/dam/tcs/investor-relations/financial-statements/2025-26/ar/annual-report-2025-2026.pdf</w:t>
      </w:r>
    </w:p>
    <w:p w14:paraId="382BBD39" w14:textId="77777777" w:rsidR="008717EA" w:rsidRPr="00E10CE8" w:rsidRDefault="008717EA" w:rsidP="00A23603">
      <w:pPr>
        <w:ind w:left="567" w:hanging="567"/>
        <w:rPr>
          <w:rFonts w:cs="Arial"/>
        </w:rPr>
      </w:pPr>
      <w:r w:rsidRPr="00E10CE8">
        <w:rPr>
          <w:rFonts w:cs="Arial"/>
        </w:rPr>
        <w:t>TCS. (2026b, July 31). Senior human resource business partner [Job posting]. LinkedIn. https://www.linkedin.com/jobs/view/senior-human-resource-business-partner-at-tata-consultancy-services-4424080746/</w:t>
      </w:r>
    </w:p>
    <w:p w14:paraId="0106F858" w14:textId="77777777" w:rsidR="008717EA" w:rsidRPr="00E10CE8" w:rsidRDefault="008717EA" w:rsidP="00A23603">
      <w:pPr>
        <w:ind w:left="567" w:hanging="567"/>
        <w:rPr>
          <w:rFonts w:cs="Arial"/>
        </w:rPr>
      </w:pPr>
      <w:r w:rsidRPr="00E10CE8">
        <w:rPr>
          <w:rFonts w:cs="Arial"/>
        </w:rPr>
        <w:t>TCS. (n.d.-a). Worldwide. Retrieved July 30, 2026, from https://www.tcs.com/who-we-are/worldwide</w:t>
      </w:r>
    </w:p>
    <w:p w14:paraId="03720A22" w14:textId="77777777" w:rsidR="008717EA" w:rsidRPr="00E10CE8" w:rsidRDefault="008717EA" w:rsidP="00A23603">
      <w:pPr>
        <w:ind w:left="567" w:hanging="567"/>
        <w:rPr>
          <w:rFonts w:cs="Arial"/>
        </w:rPr>
      </w:pPr>
      <w:r w:rsidRPr="00E10CE8">
        <w:rPr>
          <w:rFonts w:cs="Arial"/>
        </w:rPr>
        <w:t>TCS. (n.d.-b). Newsroom. Retrieved July 30, 2026, from https://www.tcs.com/who-we-are/newsroom</w:t>
      </w:r>
    </w:p>
    <w:p w14:paraId="48FB7CBD" w14:textId="77777777" w:rsidR="008717EA" w:rsidRPr="00E10CE8" w:rsidRDefault="008717EA" w:rsidP="00A23603">
      <w:pPr>
        <w:ind w:left="567" w:hanging="567"/>
        <w:rPr>
          <w:rFonts w:cs="Arial"/>
        </w:rPr>
      </w:pPr>
      <w:r w:rsidRPr="00E10CE8">
        <w:rPr>
          <w:rFonts w:cs="Arial"/>
        </w:rPr>
        <w:t>TCS. (n.d.-c). Entry level careers. Retrieved July 30, 2026, from https://www.tcs.com/careers/india/entry-level</w:t>
      </w:r>
    </w:p>
    <w:p w14:paraId="72ED4173" w14:textId="77777777" w:rsidR="008717EA" w:rsidRPr="00E10CE8" w:rsidRDefault="008717EA" w:rsidP="00A23603">
      <w:pPr>
        <w:ind w:left="567" w:hanging="567"/>
        <w:rPr>
          <w:rFonts w:cs="Arial"/>
        </w:rPr>
      </w:pPr>
      <w:r w:rsidRPr="00E10CE8">
        <w:rPr>
          <w:rFonts w:cs="Arial"/>
        </w:rPr>
        <w:t>TCS. (n.d.-d). End-to-end corporate learning and development with TCS' services (TCS Corporate Digital Academy). Retrieved July 30, 2026, from https://www.tcs.com/what-we-do/industries/education/solution/corporate-digital-academy-skill-development</w:t>
      </w:r>
    </w:p>
    <w:p w14:paraId="12F4D8C2" w14:textId="77777777" w:rsidR="008717EA" w:rsidRPr="00E10CE8" w:rsidRDefault="008717EA" w:rsidP="00A23603">
      <w:pPr>
        <w:ind w:left="567" w:hanging="567"/>
        <w:rPr>
          <w:rFonts w:cs="Arial"/>
        </w:rPr>
      </w:pPr>
      <w:r w:rsidRPr="00E10CE8">
        <w:rPr>
          <w:rFonts w:cs="Arial"/>
        </w:rPr>
        <w:t>TCS. (n.d.-e). Feedback to Feedforward™: Innovating performance management at TCS. Retrieved August 3, 2026, from https://www.tcs.com/who-we-are/tcs-way/article/innovating-performance-management-system</w:t>
      </w:r>
    </w:p>
    <w:p w14:paraId="562C473E" w14:textId="77777777" w:rsidR="008717EA" w:rsidRPr="00E10CE8" w:rsidRDefault="008717EA" w:rsidP="00A23603">
      <w:pPr>
        <w:ind w:left="567" w:hanging="567"/>
        <w:rPr>
          <w:rFonts w:cs="Arial"/>
        </w:rPr>
      </w:pPr>
      <w:r w:rsidRPr="00E10CE8">
        <w:rPr>
          <w:rFonts w:cs="Arial"/>
        </w:rPr>
        <w:t>TCS. (n.d.-f). DEI framework: Exploring various facets of diversity and inclusion in the workplace. Retrieved July 30, 2026, from https://www.tcs.com/who-we-are/diversity-equity-inclusion/dei-framework-neurodiversity-gender-race-inclusion</w:t>
      </w:r>
    </w:p>
    <w:p w14:paraId="7BB5FB46" w14:textId="77777777" w:rsidR="008717EA" w:rsidRPr="00E10CE8" w:rsidRDefault="008717EA" w:rsidP="00A23603">
      <w:pPr>
        <w:ind w:left="567" w:hanging="567"/>
        <w:rPr>
          <w:rFonts w:cs="Arial"/>
        </w:rPr>
      </w:pPr>
      <w:r w:rsidRPr="00E10CE8">
        <w:rPr>
          <w:rFonts w:cs="Arial"/>
        </w:rPr>
        <w:t>TCS. (n.d.-g). Hiring persons with disabilities: Introduction and guidelines. Retrieved July 30, 2026, from https://www.tcs.com/who-we-are/diversity-equity-inclusion/hiring-person-with-disability-introduction-guideline</w:t>
      </w:r>
    </w:p>
    <w:p w14:paraId="0F759FE6" w14:textId="77777777" w:rsidR="008717EA" w:rsidRPr="00E10CE8" w:rsidRDefault="008717EA" w:rsidP="00A23603">
      <w:pPr>
        <w:ind w:left="567" w:hanging="567"/>
        <w:rPr>
          <w:rFonts w:cs="Arial"/>
        </w:rPr>
      </w:pPr>
      <w:r w:rsidRPr="00E10CE8">
        <w:rPr>
          <w:rFonts w:cs="Arial"/>
        </w:rPr>
        <w:t>TCS. (n.d.-h). Employee health and wellness: TCS wellbeing (TCS Cares). Retrieved August 3, 2026, from https://www.tcs.com/who-we-are/tcs-way/case-study/employee-health-wellness-tcs-wellbeing</w:t>
      </w:r>
    </w:p>
    <w:p w14:paraId="2E83EA96" w14:textId="77777777" w:rsidR="008717EA" w:rsidRPr="00E10CE8" w:rsidRDefault="008717EA" w:rsidP="00A23603">
      <w:pPr>
        <w:ind w:left="567" w:hanging="567"/>
        <w:rPr>
          <w:rFonts w:cs="Arial"/>
        </w:rPr>
      </w:pPr>
      <w:r w:rsidRPr="00E10CE8">
        <w:rPr>
          <w:rFonts w:cs="Arial"/>
        </w:rPr>
        <w:t>Trompenaars, F., &amp; Hampden-Turner, C. (2012). Riding the waves of culture: Understanding diversity in global business (3rd ed.). Nicholas Brealey.</w:t>
      </w:r>
    </w:p>
    <w:p w14:paraId="15CB4088" w14:textId="77777777" w:rsidR="008717EA" w:rsidRPr="00E10CE8" w:rsidRDefault="008717EA" w:rsidP="00A23603">
      <w:pPr>
        <w:ind w:left="567" w:hanging="567"/>
        <w:rPr>
          <w:rFonts w:cs="Arial"/>
        </w:rPr>
      </w:pPr>
      <w:r w:rsidRPr="00E10CE8">
        <w:rPr>
          <w:rFonts w:cs="Arial"/>
        </w:rPr>
        <w:t>Varghese, J. (2025, July 27). AI overhaul: India's TCS to cut 12,000 jobs this year after growth slows in Q1. Gulf News. https://gulfnews.com/business/markets/ai-overhaul-indias-tcs-to-cut-12000-jobs-this-year-after-growth-slows-in-q1-1.500212931</w:t>
      </w:r>
    </w:p>
    <w:p w14:paraId="31775230" w14:textId="77777777" w:rsidR="008717EA" w:rsidRPr="00E10CE8" w:rsidRDefault="008717EA" w:rsidP="00A23603">
      <w:pPr>
        <w:ind w:left="567" w:hanging="567"/>
        <w:rPr>
          <w:rFonts w:cs="Arial"/>
        </w:rPr>
      </w:pPr>
      <w:r w:rsidRPr="00E10CE8">
        <w:rPr>
          <w:rFonts w:cs="Arial"/>
        </w:rPr>
        <w:t>Vroom, V. H. (1964). Work and motivation. Wiley.</w:t>
      </w:r>
    </w:p>
    <w:p w14:paraId="4998B86E" w14:textId="77777777" w:rsidR="008717EA" w:rsidRPr="00E10CE8" w:rsidRDefault="008717EA" w:rsidP="00A23603">
      <w:pPr>
        <w:ind w:left="567" w:hanging="567"/>
        <w:rPr>
          <w:rFonts w:cs="Arial"/>
        </w:rPr>
      </w:pPr>
      <w:r w:rsidRPr="00E10CE8">
        <w:rPr>
          <w:rFonts w:cs="Arial"/>
        </w:rPr>
        <w:t>Wenger, E. (1998). Communities of practice: Learning, meaning, and identity. Cambridge University Press.</w:t>
      </w:r>
    </w:p>
    <w:p w14:paraId="02E82842" w14:textId="77777777" w:rsidR="008717EA" w:rsidRPr="00E10CE8" w:rsidRDefault="008717EA" w:rsidP="00A23603">
      <w:pPr>
        <w:ind w:left="567" w:hanging="567"/>
        <w:rPr>
          <w:rFonts w:cs="Arial"/>
        </w:rPr>
      </w:pPr>
      <w:r w:rsidRPr="00E10CE8">
        <w:rPr>
          <w:rFonts w:cs="Arial"/>
        </w:rPr>
        <w:t>World Economic Forum. (2023). The future of jobs report 2023. https://www.weforum.org/publications/the-future-of-jobs-report-2023/</w:t>
      </w:r>
    </w:p>
    <w:sectPr w:rsidR="008717EA" w:rsidRPr="00E10CE8" w:rsidSect="000F3DD1">
      <w:footerReference w:type="default" r:id="rId16"/>
      <w:pgSz w:w="11900" w:h="16840" w:code="9"/>
      <w:pgMar w:top="1440" w:right="1440" w:bottom="1440" w:left="1440" w:header="708" w:footer="91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A0B1FB" w14:textId="77777777" w:rsidR="00FF7027" w:rsidRDefault="00FF7027" w:rsidP="00353751">
      <w:r>
        <w:separator/>
      </w:r>
    </w:p>
  </w:endnote>
  <w:endnote w:type="continuationSeparator" w:id="0">
    <w:p w14:paraId="6C0FB2E4" w14:textId="77777777" w:rsidR="00FF7027" w:rsidRDefault="00FF7027" w:rsidP="00353751">
      <w:r>
        <w:continuationSeparator/>
      </w:r>
    </w:p>
  </w:endnote>
  <w:endnote w:type="continuationNotice" w:id="1">
    <w:p w14:paraId="340B16CC" w14:textId="77777777" w:rsidR="00FF7027" w:rsidRDefault="00FF70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altName w:val="Arial"/>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C1B194" w14:textId="77777777" w:rsidR="000F5D4A" w:rsidRPr="00F329EB" w:rsidRDefault="000F5D4A" w:rsidP="000F3DD1">
    <w:pPr>
      <w:pStyle w:val="Footer"/>
    </w:pPr>
  </w:p>
  <w:p w14:paraId="6AC66FBA" w14:textId="77777777" w:rsidR="000F5D4A" w:rsidRPr="00F329EB" w:rsidRDefault="000F5D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076177300"/>
      <w:docPartObj>
        <w:docPartGallery w:val="Page Numbers (Bottom of Page)"/>
        <w:docPartUnique/>
      </w:docPartObj>
    </w:sdtPr>
    <w:sdtEndPr>
      <w:rPr>
        <w:noProof/>
      </w:rPr>
    </w:sdtEndPr>
    <w:sdtContent>
      <w:p w14:paraId="609A49D1" w14:textId="77777777" w:rsidR="000F5D4A" w:rsidRDefault="000F5D4A">
        <w:pPr>
          <w:pStyle w:val="Footer"/>
          <w:jc w:val="right"/>
        </w:pPr>
        <w:r>
          <w:fldChar w:fldCharType="begin"/>
        </w:r>
        <w:r>
          <w:instrText xml:space="preserve"> PAGE   \* MERGEFORMAT </w:instrText>
        </w:r>
        <w:r>
          <w:fldChar w:fldCharType="separate"/>
        </w:r>
        <w:r w:rsidR="00036738">
          <w:rPr>
            <w:noProof/>
          </w:rPr>
          <w:t>1</w:t>
        </w:r>
        <w:r>
          <w:rPr>
            <w:noProof/>
          </w:rPr>
          <w:fldChar w:fldCharType="end"/>
        </w:r>
      </w:p>
    </w:sdtContent>
  </w:sdt>
  <w:p w14:paraId="1A0EB8A3" w14:textId="77777777" w:rsidR="000F5D4A" w:rsidRPr="00F329EB" w:rsidRDefault="000F5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D8ACE0" w14:textId="77777777" w:rsidR="00FF7027" w:rsidRDefault="00FF7027" w:rsidP="00353751">
      <w:r>
        <w:separator/>
      </w:r>
    </w:p>
  </w:footnote>
  <w:footnote w:type="continuationSeparator" w:id="0">
    <w:p w14:paraId="03B21AD8" w14:textId="77777777" w:rsidR="00FF7027" w:rsidRDefault="00FF7027" w:rsidP="00353751">
      <w:r>
        <w:continuationSeparator/>
      </w:r>
    </w:p>
  </w:footnote>
  <w:footnote w:type="continuationNotice" w:id="1">
    <w:p w14:paraId="729AC98D" w14:textId="77777777" w:rsidR="00FF7027" w:rsidRDefault="00FF70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2096AA" w14:textId="28B97565" w:rsidR="000F5D4A" w:rsidRDefault="009F6FD8">
    <w:pPr>
      <w:pStyle w:val="Header"/>
      <w:jc w:val="right"/>
    </w:pPr>
    <w:r>
      <w:rPr>
        <w:noProof/>
      </w:rPr>
      <mc:AlternateContent>
        <mc:Choice Requires="wps">
          <w:drawing>
            <wp:anchor distT="0" distB="0" distL="114300" distR="114300" simplePos="0" relativeHeight="251659264" behindDoc="0" locked="0" layoutInCell="1" allowOverlap="1" wp14:anchorId="74ED4DC2" wp14:editId="323E70C8">
              <wp:simplePos x="0" y="0"/>
              <wp:positionH relativeFrom="column">
                <wp:posOffset>-957385</wp:posOffset>
              </wp:positionH>
              <wp:positionV relativeFrom="paragraph">
                <wp:posOffset>-447626</wp:posOffset>
              </wp:positionV>
              <wp:extent cx="7654925" cy="888609"/>
              <wp:effectExtent l="50800" t="25400" r="66675" b="76835"/>
              <wp:wrapNone/>
              <wp:docPr id="2031394863" name="Rectangle 3"/>
              <wp:cNvGraphicFramePr/>
              <a:graphic xmlns:a="http://schemas.openxmlformats.org/drawingml/2006/main">
                <a:graphicData uri="http://schemas.microsoft.com/office/word/2010/wordprocessingShape">
                  <wps:wsp>
                    <wps:cNvSpPr/>
                    <wps:spPr>
                      <a:xfrm>
                        <a:off x="0" y="0"/>
                        <a:ext cx="7654925" cy="888609"/>
                      </a:xfrm>
                      <a:prstGeom prst="rect">
                        <a:avLst/>
                      </a:prstGeom>
                      <a:solidFill>
                        <a:schemeClr val="tx1"/>
                      </a:solidFill>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02A52" id="Rectangle 3" o:spid="_x0000_s1026" style="position:absolute;margin-left:-75.4pt;margin-top:-35.25pt;width:602.75pt;height:6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" fillcolor="black [3213]" strokecolor="black [3040]">
              <v:shadow on="t" color="black" opacity="22937f" origin=",.5" offset="0,.63889mm"/>
            </v:rect>
          </w:pict>
        </mc:Fallback>
      </mc:AlternateContent>
    </w:r>
    <w:r>
      <w:rPr>
        <w:noProof/>
      </w:rPr>
      <w:drawing>
        <wp:anchor distT="0" distB="0" distL="114300" distR="114300" simplePos="0" relativeHeight="251660288" behindDoc="0" locked="0" layoutInCell="1" allowOverlap="1" wp14:anchorId="289AFA47" wp14:editId="0D128004">
          <wp:simplePos x="0" y="0"/>
          <wp:positionH relativeFrom="column">
            <wp:posOffset>-867508</wp:posOffset>
          </wp:positionH>
          <wp:positionV relativeFrom="paragraph">
            <wp:posOffset>-437858</wp:posOffset>
          </wp:positionV>
          <wp:extent cx="2658139" cy="879231"/>
          <wp:effectExtent l="0" t="0" r="0" b="0"/>
          <wp:wrapNone/>
          <wp:docPr id="210528000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80006" name="Graphic 2105280006"/>
                  <pic:cNvPicPr/>
                </pic:nvPicPr>
                <pic:blipFill>
                  <a:blip r:embed="rId1">
                    <a:extLst>
                      <a:ext uri="{96DAC541-7B7A-43D3-8B79-37D633B846F1}">
                        <asvg:svgBlip xmlns:asvg="http://schemas.microsoft.com/office/drawing/2016/SVG/main" r:embed="rId2"/>
                      </a:ext>
                    </a:extLst>
                  </a:blip>
                  <a:stretch>
                    <a:fillRect/>
                  </a:stretch>
                </pic:blipFill>
                <pic:spPr>
                  <a:xfrm>
                    <a:off x="0" y="0"/>
                    <a:ext cx="2674626" cy="884684"/>
                  </a:xfrm>
                  <a:prstGeom prst="rect">
                    <a:avLst/>
                  </a:prstGeom>
                </pic:spPr>
              </pic:pic>
            </a:graphicData>
          </a:graphic>
          <wp14:sizeRelH relativeFrom="page">
            <wp14:pctWidth>0</wp14:pctWidth>
          </wp14:sizeRelH>
          <wp14:sizeRelV relativeFrom="page">
            <wp14:pctHeight>0</wp14:pctHeight>
          </wp14:sizeRelV>
        </wp:anchor>
      </w:drawing>
    </w:r>
  </w:p>
  <w:p w14:paraId="4440F8DC" w14:textId="0E3B65C7" w:rsidR="000F5D4A" w:rsidRDefault="000F5D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811FF5"/>
    <w:multiLevelType w:val="hybridMultilevel"/>
    <w:tmpl w:val="61E61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C70DA7"/>
    <w:multiLevelType w:val="hybridMultilevel"/>
    <w:tmpl w:val="00146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CF5F87"/>
    <w:multiLevelType w:val="hybridMultilevel"/>
    <w:tmpl w:val="7D886C00"/>
    <w:lvl w:ilvl="0" w:tplc="0094AD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7477924">
    <w:abstractNumId w:val="1"/>
  </w:num>
  <w:num w:numId="2" w16cid:durableId="267855791">
    <w:abstractNumId w:val="0"/>
  </w:num>
  <w:num w:numId="3" w16cid:durableId="1749111619">
    <w:abstractNumId w:val="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DB4"/>
    <w:rsid w:val="00000140"/>
    <w:rsid w:val="0000044C"/>
    <w:rsid w:val="00000EC6"/>
    <w:rsid w:val="00002D35"/>
    <w:rsid w:val="00002E41"/>
    <w:rsid w:val="00003B4C"/>
    <w:rsid w:val="00003ECA"/>
    <w:rsid w:val="00004DD6"/>
    <w:rsid w:val="000066F2"/>
    <w:rsid w:val="0000690E"/>
    <w:rsid w:val="00006A9E"/>
    <w:rsid w:val="00006F56"/>
    <w:rsid w:val="000100BE"/>
    <w:rsid w:val="00011B0A"/>
    <w:rsid w:val="00011ED4"/>
    <w:rsid w:val="000139CF"/>
    <w:rsid w:val="000168A5"/>
    <w:rsid w:val="00016C9A"/>
    <w:rsid w:val="0002194D"/>
    <w:rsid w:val="00021F8B"/>
    <w:rsid w:val="000220FB"/>
    <w:rsid w:val="00022D99"/>
    <w:rsid w:val="00024A43"/>
    <w:rsid w:val="000250D1"/>
    <w:rsid w:val="00025B94"/>
    <w:rsid w:val="00025E77"/>
    <w:rsid w:val="00025ECA"/>
    <w:rsid w:val="000268E2"/>
    <w:rsid w:val="00027702"/>
    <w:rsid w:val="00027750"/>
    <w:rsid w:val="00031A78"/>
    <w:rsid w:val="00031D7A"/>
    <w:rsid w:val="00032A4E"/>
    <w:rsid w:val="00032FD7"/>
    <w:rsid w:val="000343CD"/>
    <w:rsid w:val="00034AA4"/>
    <w:rsid w:val="000362F0"/>
    <w:rsid w:val="0003630A"/>
    <w:rsid w:val="0003663D"/>
    <w:rsid w:val="00036738"/>
    <w:rsid w:val="00037A1E"/>
    <w:rsid w:val="00040729"/>
    <w:rsid w:val="000407FF"/>
    <w:rsid w:val="00040A8A"/>
    <w:rsid w:val="00040BFA"/>
    <w:rsid w:val="00041130"/>
    <w:rsid w:val="000414A9"/>
    <w:rsid w:val="00041727"/>
    <w:rsid w:val="00042BE4"/>
    <w:rsid w:val="0004308B"/>
    <w:rsid w:val="00043D1E"/>
    <w:rsid w:val="00043FBE"/>
    <w:rsid w:val="000442C7"/>
    <w:rsid w:val="0004589F"/>
    <w:rsid w:val="00045AA9"/>
    <w:rsid w:val="000466EE"/>
    <w:rsid w:val="00046B05"/>
    <w:rsid w:val="0005036E"/>
    <w:rsid w:val="0005060B"/>
    <w:rsid w:val="0005120F"/>
    <w:rsid w:val="00051427"/>
    <w:rsid w:val="00052220"/>
    <w:rsid w:val="00054522"/>
    <w:rsid w:val="00054BE3"/>
    <w:rsid w:val="00055254"/>
    <w:rsid w:val="000552AA"/>
    <w:rsid w:val="00055D27"/>
    <w:rsid w:val="0005792F"/>
    <w:rsid w:val="000603C7"/>
    <w:rsid w:val="00060A7F"/>
    <w:rsid w:val="000618AD"/>
    <w:rsid w:val="000622E0"/>
    <w:rsid w:val="000646B1"/>
    <w:rsid w:val="00064FDD"/>
    <w:rsid w:val="00065261"/>
    <w:rsid w:val="00065CDA"/>
    <w:rsid w:val="000668BB"/>
    <w:rsid w:val="0006762B"/>
    <w:rsid w:val="000677A7"/>
    <w:rsid w:val="00070442"/>
    <w:rsid w:val="00070748"/>
    <w:rsid w:val="00072532"/>
    <w:rsid w:val="000730DB"/>
    <w:rsid w:val="00075861"/>
    <w:rsid w:val="0007741B"/>
    <w:rsid w:val="00080C15"/>
    <w:rsid w:val="00081523"/>
    <w:rsid w:val="00083A33"/>
    <w:rsid w:val="000855E1"/>
    <w:rsid w:val="000862D9"/>
    <w:rsid w:val="000863BB"/>
    <w:rsid w:val="0008727E"/>
    <w:rsid w:val="000875C2"/>
    <w:rsid w:val="00087634"/>
    <w:rsid w:val="00087DEB"/>
    <w:rsid w:val="00091F3F"/>
    <w:rsid w:val="000944A4"/>
    <w:rsid w:val="00094EB8"/>
    <w:rsid w:val="0009569D"/>
    <w:rsid w:val="0009615E"/>
    <w:rsid w:val="000A024A"/>
    <w:rsid w:val="000A1495"/>
    <w:rsid w:val="000A376F"/>
    <w:rsid w:val="000A3A91"/>
    <w:rsid w:val="000A3C17"/>
    <w:rsid w:val="000A51A7"/>
    <w:rsid w:val="000A5782"/>
    <w:rsid w:val="000A59C7"/>
    <w:rsid w:val="000A5CA9"/>
    <w:rsid w:val="000A6FFD"/>
    <w:rsid w:val="000A73A6"/>
    <w:rsid w:val="000B023B"/>
    <w:rsid w:val="000B0D6E"/>
    <w:rsid w:val="000B196A"/>
    <w:rsid w:val="000B3255"/>
    <w:rsid w:val="000B3465"/>
    <w:rsid w:val="000B5CA7"/>
    <w:rsid w:val="000B5CF5"/>
    <w:rsid w:val="000B75F8"/>
    <w:rsid w:val="000B7F42"/>
    <w:rsid w:val="000C0138"/>
    <w:rsid w:val="000C181A"/>
    <w:rsid w:val="000C315D"/>
    <w:rsid w:val="000C36FA"/>
    <w:rsid w:val="000C476D"/>
    <w:rsid w:val="000C5457"/>
    <w:rsid w:val="000C63C7"/>
    <w:rsid w:val="000C650D"/>
    <w:rsid w:val="000C7D08"/>
    <w:rsid w:val="000D1E7A"/>
    <w:rsid w:val="000D256E"/>
    <w:rsid w:val="000D3102"/>
    <w:rsid w:val="000D350E"/>
    <w:rsid w:val="000D549C"/>
    <w:rsid w:val="000D5E98"/>
    <w:rsid w:val="000D67C2"/>
    <w:rsid w:val="000D7193"/>
    <w:rsid w:val="000D7D3B"/>
    <w:rsid w:val="000D7E07"/>
    <w:rsid w:val="000E1834"/>
    <w:rsid w:val="000E2E93"/>
    <w:rsid w:val="000E36E9"/>
    <w:rsid w:val="000E47C0"/>
    <w:rsid w:val="000E698F"/>
    <w:rsid w:val="000E7912"/>
    <w:rsid w:val="000E7A48"/>
    <w:rsid w:val="000F092E"/>
    <w:rsid w:val="000F1CAE"/>
    <w:rsid w:val="000F1E0B"/>
    <w:rsid w:val="000F1E96"/>
    <w:rsid w:val="000F2260"/>
    <w:rsid w:val="000F378D"/>
    <w:rsid w:val="000F3798"/>
    <w:rsid w:val="000F3DD1"/>
    <w:rsid w:val="000F4BD5"/>
    <w:rsid w:val="000F5D4A"/>
    <w:rsid w:val="000F6218"/>
    <w:rsid w:val="000F6BE9"/>
    <w:rsid w:val="000F71A5"/>
    <w:rsid w:val="000F74E8"/>
    <w:rsid w:val="000F7ADC"/>
    <w:rsid w:val="000F7DD9"/>
    <w:rsid w:val="001011BB"/>
    <w:rsid w:val="00101814"/>
    <w:rsid w:val="0010188C"/>
    <w:rsid w:val="001028A2"/>
    <w:rsid w:val="00102C8B"/>
    <w:rsid w:val="00105E1D"/>
    <w:rsid w:val="001062F0"/>
    <w:rsid w:val="00107976"/>
    <w:rsid w:val="00107BE3"/>
    <w:rsid w:val="0011135B"/>
    <w:rsid w:val="00111D22"/>
    <w:rsid w:val="001121E3"/>
    <w:rsid w:val="00113519"/>
    <w:rsid w:val="001137B8"/>
    <w:rsid w:val="00115107"/>
    <w:rsid w:val="00116A78"/>
    <w:rsid w:val="001172B8"/>
    <w:rsid w:val="00117EAA"/>
    <w:rsid w:val="00120862"/>
    <w:rsid w:val="00120CA1"/>
    <w:rsid w:val="00122712"/>
    <w:rsid w:val="00123020"/>
    <w:rsid w:val="001234B8"/>
    <w:rsid w:val="00123A4E"/>
    <w:rsid w:val="00123BDE"/>
    <w:rsid w:val="00125488"/>
    <w:rsid w:val="001259D7"/>
    <w:rsid w:val="001261BA"/>
    <w:rsid w:val="001301F7"/>
    <w:rsid w:val="0013044B"/>
    <w:rsid w:val="00130BC2"/>
    <w:rsid w:val="00130BC7"/>
    <w:rsid w:val="00130C03"/>
    <w:rsid w:val="00130E1F"/>
    <w:rsid w:val="0013111F"/>
    <w:rsid w:val="001311C3"/>
    <w:rsid w:val="00131743"/>
    <w:rsid w:val="00131BD9"/>
    <w:rsid w:val="00131C4F"/>
    <w:rsid w:val="001332B7"/>
    <w:rsid w:val="001336C3"/>
    <w:rsid w:val="00134518"/>
    <w:rsid w:val="00135FD0"/>
    <w:rsid w:val="00136A75"/>
    <w:rsid w:val="0013706F"/>
    <w:rsid w:val="00137348"/>
    <w:rsid w:val="001374D6"/>
    <w:rsid w:val="00140A72"/>
    <w:rsid w:val="00140E6F"/>
    <w:rsid w:val="00142B32"/>
    <w:rsid w:val="001431B6"/>
    <w:rsid w:val="00144339"/>
    <w:rsid w:val="00144653"/>
    <w:rsid w:val="00144913"/>
    <w:rsid w:val="00145F9A"/>
    <w:rsid w:val="001462D7"/>
    <w:rsid w:val="0015522F"/>
    <w:rsid w:val="00156D29"/>
    <w:rsid w:val="001579B1"/>
    <w:rsid w:val="00157CCD"/>
    <w:rsid w:val="00160798"/>
    <w:rsid w:val="00160A37"/>
    <w:rsid w:val="001628D9"/>
    <w:rsid w:val="0016458E"/>
    <w:rsid w:val="00165BAD"/>
    <w:rsid w:val="00166D42"/>
    <w:rsid w:val="001707F5"/>
    <w:rsid w:val="00171977"/>
    <w:rsid w:val="001721F8"/>
    <w:rsid w:val="001723CD"/>
    <w:rsid w:val="0017271A"/>
    <w:rsid w:val="001738AE"/>
    <w:rsid w:val="00173D3A"/>
    <w:rsid w:val="00174473"/>
    <w:rsid w:val="00174866"/>
    <w:rsid w:val="00174CCE"/>
    <w:rsid w:val="001758AE"/>
    <w:rsid w:val="00175FCE"/>
    <w:rsid w:val="00176A10"/>
    <w:rsid w:val="00177543"/>
    <w:rsid w:val="001775A0"/>
    <w:rsid w:val="00180490"/>
    <w:rsid w:val="00181084"/>
    <w:rsid w:val="00181804"/>
    <w:rsid w:val="00181BB7"/>
    <w:rsid w:val="00182353"/>
    <w:rsid w:val="00182BB5"/>
    <w:rsid w:val="00184263"/>
    <w:rsid w:val="00184FF4"/>
    <w:rsid w:val="001855B9"/>
    <w:rsid w:val="001906A3"/>
    <w:rsid w:val="001906FE"/>
    <w:rsid w:val="00190F3A"/>
    <w:rsid w:val="00191C51"/>
    <w:rsid w:val="00192067"/>
    <w:rsid w:val="001937F1"/>
    <w:rsid w:val="00194077"/>
    <w:rsid w:val="0019408C"/>
    <w:rsid w:val="00195539"/>
    <w:rsid w:val="00196B66"/>
    <w:rsid w:val="001973E6"/>
    <w:rsid w:val="00197836"/>
    <w:rsid w:val="001A1468"/>
    <w:rsid w:val="001A15A2"/>
    <w:rsid w:val="001A2676"/>
    <w:rsid w:val="001A2C8C"/>
    <w:rsid w:val="001A2E01"/>
    <w:rsid w:val="001A36A9"/>
    <w:rsid w:val="001A582D"/>
    <w:rsid w:val="001A6082"/>
    <w:rsid w:val="001A642C"/>
    <w:rsid w:val="001B0668"/>
    <w:rsid w:val="001B06E0"/>
    <w:rsid w:val="001B0EB1"/>
    <w:rsid w:val="001B23ED"/>
    <w:rsid w:val="001B292D"/>
    <w:rsid w:val="001B2BFD"/>
    <w:rsid w:val="001B2E7E"/>
    <w:rsid w:val="001B3CD4"/>
    <w:rsid w:val="001B4BE7"/>
    <w:rsid w:val="001B5DAD"/>
    <w:rsid w:val="001B67EE"/>
    <w:rsid w:val="001B6D0E"/>
    <w:rsid w:val="001C0217"/>
    <w:rsid w:val="001C03C3"/>
    <w:rsid w:val="001C07A5"/>
    <w:rsid w:val="001C0C05"/>
    <w:rsid w:val="001C2A4E"/>
    <w:rsid w:val="001C2B06"/>
    <w:rsid w:val="001C331F"/>
    <w:rsid w:val="001C33E0"/>
    <w:rsid w:val="001C3821"/>
    <w:rsid w:val="001C3995"/>
    <w:rsid w:val="001C4764"/>
    <w:rsid w:val="001C4DBD"/>
    <w:rsid w:val="001C5D0F"/>
    <w:rsid w:val="001C5F89"/>
    <w:rsid w:val="001C6505"/>
    <w:rsid w:val="001D178F"/>
    <w:rsid w:val="001D1B88"/>
    <w:rsid w:val="001D1BF4"/>
    <w:rsid w:val="001D1EA8"/>
    <w:rsid w:val="001D3B5E"/>
    <w:rsid w:val="001D476A"/>
    <w:rsid w:val="001D706B"/>
    <w:rsid w:val="001D711E"/>
    <w:rsid w:val="001E0842"/>
    <w:rsid w:val="001E089C"/>
    <w:rsid w:val="001E12D9"/>
    <w:rsid w:val="001E171A"/>
    <w:rsid w:val="001E1CF5"/>
    <w:rsid w:val="001E226F"/>
    <w:rsid w:val="001E2E5F"/>
    <w:rsid w:val="001E3822"/>
    <w:rsid w:val="001E4C06"/>
    <w:rsid w:val="001E554E"/>
    <w:rsid w:val="001E7B89"/>
    <w:rsid w:val="001F0148"/>
    <w:rsid w:val="001F0811"/>
    <w:rsid w:val="001F0BD7"/>
    <w:rsid w:val="001F1066"/>
    <w:rsid w:val="001F1203"/>
    <w:rsid w:val="001F17BB"/>
    <w:rsid w:val="001F1FBC"/>
    <w:rsid w:val="001F228C"/>
    <w:rsid w:val="001F2770"/>
    <w:rsid w:val="001F2896"/>
    <w:rsid w:val="001F3B69"/>
    <w:rsid w:val="001F43D8"/>
    <w:rsid w:val="001F49CE"/>
    <w:rsid w:val="001F4BFF"/>
    <w:rsid w:val="001F4D4E"/>
    <w:rsid w:val="001F67B8"/>
    <w:rsid w:val="001F689F"/>
    <w:rsid w:val="002000E4"/>
    <w:rsid w:val="00200130"/>
    <w:rsid w:val="0020276A"/>
    <w:rsid w:val="00202966"/>
    <w:rsid w:val="00202C66"/>
    <w:rsid w:val="00203233"/>
    <w:rsid w:val="00204F48"/>
    <w:rsid w:val="00206248"/>
    <w:rsid w:val="00213888"/>
    <w:rsid w:val="002142F2"/>
    <w:rsid w:val="002146CE"/>
    <w:rsid w:val="00214C1C"/>
    <w:rsid w:val="002152A6"/>
    <w:rsid w:val="002155B7"/>
    <w:rsid w:val="00215AE6"/>
    <w:rsid w:val="0021721C"/>
    <w:rsid w:val="002205EC"/>
    <w:rsid w:val="00220E15"/>
    <w:rsid w:val="0022104A"/>
    <w:rsid w:val="00221EBF"/>
    <w:rsid w:val="002224B8"/>
    <w:rsid w:val="0022429B"/>
    <w:rsid w:val="00225364"/>
    <w:rsid w:val="00226EDF"/>
    <w:rsid w:val="00227D18"/>
    <w:rsid w:val="00231D02"/>
    <w:rsid w:val="00231F95"/>
    <w:rsid w:val="00233A5F"/>
    <w:rsid w:val="00233F04"/>
    <w:rsid w:val="002340BB"/>
    <w:rsid w:val="00234B39"/>
    <w:rsid w:val="00234DD8"/>
    <w:rsid w:val="002367F1"/>
    <w:rsid w:val="00236CD5"/>
    <w:rsid w:val="002415FE"/>
    <w:rsid w:val="002422BE"/>
    <w:rsid w:val="00242AA8"/>
    <w:rsid w:val="00242BF5"/>
    <w:rsid w:val="00242EBF"/>
    <w:rsid w:val="00243B5E"/>
    <w:rsid w:val="002449F6"/>
    <w:rsid w:val="002475D2"/>
    <w:rsid w:val="00247A9F"/>
    <w:rsid w:val="00247F5B"/>
    <w:rsid w:val="002504B4"/>
    <w:rsid w:val="002504E8"/>
    <w:rsid w:val="002523A5"/>
    <w:rsid w:val="0025284C"/>
    <w:rsid w:val="002528DE"/>
    <w:rsid w:val="002530C5"/>
    <w:rsid w:val="002547C4"/>
    <w:rsid w:val="00254B7D"/>
    <w:rsid w:val="00254C88"/>
    <w:rsid w:val="00255C22"/>
    <w:rsid w:val="002562ED"/>
    <w:rsid w:val="002563A7"/>
    <w:rsid w:val="00257D74"/>
    <w:rsid w:val="00257F60"/>
    <w:rsid w:val="00260802"/>
    <w:rsid w:val="00260BCD"/>
    <w:rsid w:val="002622F4"/>
    <w:rsid w:val="00262548"/>
    <w:rsid w:val="00263456"/>
    <w:rsid w:val="0026359C"/>
    <w:rsid w:val="00263A96"/>
    <w:rsid w:val="00263D5F"/>
    <w:rsid w:val="00263D9C"/>
    <w:rsid w:val="00264B2F"/>
    <w:rsid w:val="002652EA"/>
    <w:rsid w:val="002663CE"/>
    <w:rsid w:val="00270726"/>
    <w:rsid w:val="002709A3"/>
    <w:rsid w:val="00270A4C"/>
    <w:rsid w:val="00270B8D"/>
    <w:rsid w:val="00271F8F"/>
    <w:rsid w:val="0027488B"/>
    <w:rsid w:val="00274B89"/>
    <w:rsid w:val="002753C5"/>
    <w:rsid w:val="0028004B"/>
    <w:rsid w:val="002805D5"/>
    <w:rsid w:val="00281063"/>
    <w:rsid w:val="002828D4"/>
    <w:rsid w:val="00283273"/>
    <w:rsid w:val="00284A9C"/>
    <w:rsid w:val="002861A4"/>
    <w:rsid w:val="002873AC"/>
    <w:rsid w:val="00290B8A"/>
    <w:rsid w:val="00290C5B"/>
    <w:rsid w:val="00291948"/>
    <w:rsid w:val="002919CA"/>
    <w:rsid w:val="00292626"/>
    <w:rsid w:val="002937E8"/>
    <w:rsid w:val="00294959"/>
    <w:rsid w:val="00294AA0"/>
    <w:rsid w:val="00295073"/>
    <w:rsid w:val="002953CC"/>
    <w:rsid w:val="002953FF"/>
    <w:rsid w:val="002A0C4E"/>
    <w:rsid w:val="002A0CF7"/>
    <w:rsid w:val="002A17E8"/>
    <w:rsid w:val="002A1927"/>
    <w:rsid w:val="002A353D"/>
    <w:rsid w:val="002A38E5"/>
    <w:rsid w:val="002A45ED"/>
    <w:rsid w:val="002A4FFE"/>
    <w:rsid w:val="002A5B69"/>
    <w:rsid w:val="002A6BBA"/>
    <w:rsid w:val="002A6CF9"/>
    <w:rsid w:val="002A70C6"/>
    <w:rsid w:val="002A7C56"/>
    <w:rsid w:val="002B0BAF"/>
    <w:rsid w:val="002B113D"/>
    <w:rsid w:val="002B12EB"/>
    <w:rsid w:val="002B1C4B"/>
    <w:rsid w:val="002B2CA9"/>
    <w:rsid w:val="002B3127"/>
    <w:rsid w:val="002B3987"/>
    <w:rsid w:val="002B3EA9"/>
    <w:rsid w:val="002B40F2"/>
    <w:rsid w:val="002B4DD0"/>
    <w:rsid w:val="002B581A"/>
    <w:rsid w:val="002C0C89"/>
    <w:rsid w:val="002C0E68"/>
    <w:rsid w:val="002C1636"/>
    <w:rsid w:val="002C1863"/>
    <w:rsid w:val="002C1BFE"/>
    <w:rsid w:val="002C2065"/>
    <w:rsid w:val="002C352D"/>
    <w:rsid w:val="002C379E"/>
    <w:rsid w:val="002C38D6"/>
    <w:rsid w:val="002C423F"/>
    <w:rsid w:val="002C51CE"/>
    <w:rsid w:val="002C5338"/>
    <w:rsid w:val="002C69BD"/>
    <w:rsid w:val="002C7B44"/>
    <w:rsid w:val="002C7C5D"/>
    <w:rsid w:val="002C7CBB"/>
    <w:rsid w:val="002D011D"/>
    <w:rsid w:val="002D046B"/>
    <w:rsid w:val="002D08B1"/>
    <w:rsid w:val="002D1791"/>
    <w:rsid w:val="002D22FB"/>
    <w:rsid w:val="002D2B89"/>
    <w:rsid w:val="002D2F63"/>
    <w:rsid w:val="002D458F"/>
    <w:rsid w:val="002D4E86"/>
    <w:rsid w:val="002D528B"/>
    <w:rsid w:val="002D534D"/>
    <w:rsid w:val="002D5D96"/>
    <w:rsid w:val="002D61DB"/>
    <w:rsid w:val="002D7B9A"/>
    <w:rsid w:val="002E100B"/>
    <w:rsid w:val="002E106A"/>
    <w:rsid w:val="002E169C"/>
    <w:rsid w:val="002E5C86"/>
    <w:rsid w:val="002E5E24"/>
    <w:rsid w:val="002E6022"/>
    <w:rsid w:val="002E6520"/>
    <w:rsid w:val="002E7B36"/>
    <w:rsid w:val="002F1095"/>
    <w:rsid w:val="002F219D"/>
    <w:rsid w:val="002F23AE"/>
    <w:rsid w:val="002F29F3"/>
    <w:rsid w:val="002F2BE4"/>
    <w:rsid w:val="002F30D8"/>
    <w:rsid w:val="002F3D73"/>
    <w:rsid w:val="002F4435"/>
    <w:rsid w:val="002F4F67"/>
    <w:rsid w:val="002F53C0"/>
    <w:rsid w:val="002F545D"/>
    <w:rsid w:val="002F5491"/>
    <w:rsid w:val="002F595A"/>
    <w:rsid w:val="002F5B42"/>
    <w:rsid w:val="002F78DC"/>
    <w:rsid w:val="00301B54"/>
    <w:rsid w:val="0030267D"/>
    <w:rsid w:val="00303C29"/>
    <w:rsid w:val="00303CBE"/>
    <w:rsid w:val="0030488B"/>
    <w:rsid w:val="00304955"/>
    <w:rsid w:val="003056BB"/>
    <w:rsid w:val="00305AE1"/>
    <w:rsid w:val="00305F1F"/>
    <w:rsid w:val="00306E69"/>
    <w:rsid w:val="003074D7"/>
    <w:rsid w:val="00307531"/>
    <w:rsid w:val="003112F1"/>
    <w:rsid w:val="00311817"/>
    <w:rsid w:val="003130BF"/>
    <w:rsid w:val="00313BAF"/>
    <w:rsid w:val="0031506A"/>
    <w:rsid w:val="00315FC1"/>
    <w:rsid w:val="0031624D"/>
    <w:rsid w:val="00316702"/>
    <w:rsid w:val="00316D2C"/>
    <w:rsid w:val="003170C0"/>
    <w:rsid w:val="00317DD1"/>
    <w:rsid w:val="00320D53"/>
    <w:rsid w:val="0032253F"/>
    <w:rsid w:val="003225FC"/>
    <w:rsid w:val="00322BAA"/>
    <w:rsid w:val="00322C58"/>
    <w:rsid w:val="00322E16"/>
    <w:rsid w:val="0032315E"/>
    <w:rsid w:val="003234FB"/>
    <w:rsid w:val="003250A4"/>
    <w:rsid w:val="00325519"/>
    <w:rsid w:val="0032563B"/>
    <w:rsid w:val="0032647D"/>
    <w:rsid w:val="00326B72"/>
    <w:rsid w:val="00327056"/>
    <w:rsid w:val="003270A9"/>
    <w:rsid w:val="00327FBB"/>
    <w:rsid w:val="00332A7D"/>
    <w:rsid w:val="00333757"/>
    <w:rsid w:val="003341AE"/>
    <w:rsid w:val="003348E2"/>
    <w:rsid w:val="00336FEB"/>
    <w:rsid w:val="0034065B"/>
    <w:rsid w:val="00340D63"/>
    <w:rsid w:val="00340F1E"/>
    <w:rsid w:val="00340F20"/>
    <w:rsid w:val="003416E8"/>
    <w:rsid w:val="00342723"/>
    <w:rsid w:val="00343F2F"/>
    <w:rsid w:val="0034447B"/>
    <w:rsid w:val="00344E4A"/>
    <w:rsid w:val="00345AC1"/>
    <w:rsid w:val="00347188"/>
    <w:rsid w:val="00347947"/>
    <w:rsid w:val="00347BCD"/>
    <w:rsid w:val="0035037E"/>
    <w:rsid w:val="00350882"/>
    <w:rsid w:val="00350B3C"/>
    <w:rsid w:val="00351016"/>
    <w:rsid w:val="00351A09"/>
    <w:rsid w:val="00353751"/>
    <w:rsid w:val="00353EB8"/>
    <w:rsid w:val="0035443D"/>
    <w:rsid w:val="00355019"/>
    <w:rsid w:val="00355B47"/>
    <w:rsid w:val="00356326"/>
    <w:rsid w:val="0035648C"/>
    <w:rsid w:val="00360820"/>
    <w:rsid w:val="00360ED3"/>
    <w:rsid w:val="003628EE"/>
    <w:rsid w:val="003630A2"/>
    <w:rsid w:val="00363A0E"/>
    <w:rsid w:val="0036407B"/>
    <w:rsid w:val="003647B5"/>
    <w:rsid w:val="00364F85"/>
    <w:rsid w:val="00365C3E"/>
    <w:rsid w:val="00365D1B"/>
    <w:rsid w:val="003661A9"/>
    <w:rsid w:val="00366D41"/>
    <w:rsid w:val="00366F48"/>
    <w:rsid w:val="00367EA2"/>
    <w:rsid w:val="00370142"/>
    <w:rsid w:val="00370E77"/>
    <w:rsid w:val="00371ACF"/>
    <w:rsid w:val="003720DF"/>
    <w:rsid w:val="003729AF"/>
    <w:rsid w:val="00372ECC"/>
    <w:rsid w:val="003732A8"/>
    <w:rsid w:val="003743FA"/>
    <w:rsid w:val="00374CBE"/>
    <w:rsid w:val="00375820"/>
    <w:rsid w:val="00376884"/>
    <w:rsid w:val="00376A26"/>
    <w:rsid w:val="00376F27"/>
    <w:rsid w:val="003819FF"/>
    <w:rsid w:val="00381E02"/>
    <w:rsid w:val="00382476"/>
    <w:rsid w:val="00382C32"/>
    <w:rsid w:val="003831AD"/>
    <w:rsid w:val="00383DB4"/>
    <w:rsid w:val="0038460A"/>
    <w:rsid w:val="0038598C"/>
    <w:rsid w:val="003872B0"/>
    <w:rsid w:val="00387491"/>
    <w:rsid w:val="0039009B"/>
    <w:rsid w:val="0039024A"/>
    <w:rsid w:val="00394164"/>
    <w:rsid w:val="0039784E"/>
    <w:rsid w:val="00397FB4"/>
    <w:rsid w:val="003A1DE9"/>
    <w:rsid w:val="003A2B79"/>
    <w:rsid w:val="003A2FCC"/>
    <w:rsid w:val="003A34F7"/>
    <w:rsid w:val="003A3E86"/>
    <w:rsid w:val="003A49DC"/>
    <w:rsid w:val="003A5681"/>
    <w:rsid w:val="003A5A43"/>
    <w:rsid w:val="003A5B5C"/>
    <w:rsid w:val="003A5D21"/>
    <w:rsid w:val="003A6B3F"/>
    <w:rsid w:val="003A7275"/>
    <w:rsid w:val="003A7C96"/>
    <w:rsid w:val="003B0930"/>
    <w:rsid w:val="003B0C1B"/>
    <w:rsid w:val="003B0FE8"/>
    <w:rsid w:val="003B39D4"/>
    <w:rsid w:val="003B49C4"/>
    <w:rsid w:val="003B6C08"/>
    <w:rsid w:val="003B6EF3"/>
    <w:rsid w:val="003B7301"/>
    <w:rsid w:val="003B781E"/>
    <w:rsid w:val="003B7BDD"/>
    <w:rsid w:val="003C01FA"/>
    <w:rsid w:val="003C09F7"/>
    <w:rsid w:val="003C46FD"/>
    <w:rsid w:val="003C579F"/>
    <w:rsid w:val="003C5DF3"/>
    <w:rsid w:val="003C7318"/>
    <w:rsid w:val="003C746C"/>
    <w:rsid w:val="003D00E9"/>
    <w:rsid w:val="003D0125"/>
    <w:rsid w:val="003D01B1"/>
    <w:rsid w:val="003D028B"/>
    <w:rsid w:val="003D0891"/>
    <w:rsid w:val="003D18EE"/>
    <w:rsid w:val="003D2512"/>
    <w:rsid w:val="003D468D"/>
    <w:rsid w:val="003D4E0A"/>
    <w:rsid w:val="003D4EAA"/>
    <w:rsid w:val="003D58DE"/>
    <w:rsid w:val="003D637D"/>
    <w:rsid w:val="003D74C1"/>
    <w:rsid w:val="003D7B82"/>
    <w:rsid w:val="003E0531"/>
    <w:rsid w:val="003E07EE"/>
    <w:rsid w:val="003E2751"/>
    <w:rsid w:val="003E444B"/>
    <w:rsid w:val="003E56B5"/>
    <w:rsid w:val="003E5AB6"/>
    <w:rsid w:val="003E5E5C"/>
    <w:rsid w:val="003E6185"/>
    <w:rsid w:val="003E70E7"/>
    <w:rsid w:val="003F1B17"/>
    <w:rsid w:val="003F4BC3"/>
    <w:rsid w:val="003F5FE8"/>
    <w:rsid w:val="003F635B"/>
    <w:rsid w:val="003F6CA2"/>
    <w:rsid w:val="003F7136"/>
    <w:rsid w:val="003F7CF6"/>
    <w:rsid w:val="003F7E88"/>
    <w:rsid w:val="004004D0"/>
    <w:rsid w:val="00400580"/>
    <w:rsid w:val="00401B60"/>
    <w:rsid w:val="004037BA"/>
    <w:rsid w:val="00404C0C"/>
    <w:rsid w:val="004067B6"/>
    <w:rsid w:val="0040690D"/>
    <w:rsid w:val="00407819"/>
    <w:rsid w:val="00407990"/>
    <w:rsid w:val="00407BD5"/>
    <w:rsid w:val="004115DB"/>
    <w:rsid w:val="00411E19"/>
    <w:rsid w:val="0041348C"/>
    <w:rsid w:val="004141B5"/>
    <w:rsid w:val="00416C2C"/>
    <w:rsid w:val="0042016F"/>
    <w:rsid w:val="00420630"/>
    <w:rsid w:val="00420EFF"/>
    <w:rsid w:val="00421F6C"/>
    <w:rsid w:val="004226EA"/>
    <w:rsid w:val="004232B5"/>
    <w:rsid w:val="00424CE8"/>
    <w:rsid w:val="00425361"/>
    <w:rsid w:val="004260E2"/>
    <w:rsid w:val="004262F2"/>
    <w:rsid w:val="00426CBD"/>
    <w:rsid w:val="00430885"/>
    <w:rsid w:val="00431263"/>
    <w:rsid w:val="00431EC3"/>
    <w:rsid w:val="0043322F"/>
    <w:rsid w:val="0043356B"/>
    <w:rsid w:val="004336D2"/>
    <w:rsid w:val="00434083"/>
    <w:rsid w:val="004347A6"/>
    <w:rsid w:val="00435641"/>
    <w:rsid w:val="004358B7"/>
    <w:rsid w:val="00435C1B"/>
    <w:rsid w:val="00435C39"/>
    <w:rsid w:val="004416A3"/>
    <w:rsid w:val="00441BBD"/>
    <w:rsid w:val="00442C77"/>
    <w:rsid w:val="004444F1"/>
    <w:rsid w:val="0044552A"/>
    <w:rsid w:val="0044559F"/>
    <w:rsid w:val="00445EA5"/>
    <w:rsid w:val="00446611"/>
    <w:rsid w:val="00446928"/>
    <w:rsid w:val="00447328"/>
    <w:rsid w:val="0044736D"/>
    <w:rsid w:val="00447E8F"/>
    <w:rsid w:val="00447EC9"/>
    <w:rsid w:val="00450305"/>
    <w:rsid w:val="00450A60"/>
    <w:rsid w:val="00450EC5"/>
    <w:rsid w:val="004536E4"/>
    <w:rsid w:val="00453770"/>
    <w:rsid w:val="0045402E"/>
    <w:rsid w:val="00454544"/>
    <w:rsid w:val="00454BCD"/>
    <w:rsid w:val="004552EF"/>
    <w:rsid w:val="00457AE3"/>
    <w:rsid w:val="004601AE"/>
    <w:rsid w:val="0046041A"/>
    <w:rsid w:val="004607F9"/>
    <w:rsid w:val="00461815"/>
    <w:rsid w:val="00461DD9"/>
    <w:rsid w:val="00462515"/>
    <w:rsid w:val="00464071"/>
    <w:rsid w:val="00464956"/>
    <w:rsid w:val="00464BAA"/>
    <w:rsid w:val="0046505D"/>
    <w:rsid w:val="00466139"/>
    <w:rsid w:val="00466B71"/>
    <w:rsid w:val="00470286"/>
    <w:rsid w:val="0047257A"/>
    <w:rsid w:val="00473254"/>
    <w:rsid w:val="00473636"/>
    <w:rsid w:val="00474EEE"/>
    <w:rsid w:val="00475060"/>
    <w:rsid w:val="0047550C"/>
    <w:rsid w:val="00475E48"/>
    <w:rsid w:val="00476853"/>
    <w:rsid w:val="004771D8"/>
    <w:rsid w:val="00480738"/>
    <w:rsid w:val="00480866"/>
    <w:rsid w:val="00480B7A"/>
    <w:rsid w:val="0048134D"/>
    <w:rsid w:val="00481D4F"/>
    <w:rsid w:val="0048378F"/>
    <w:rsid w:val="0048424E"/>
    <w:rsid w:val="00484FB5"/>
    <w:rsid w:val="00486766"/>
    <w:rsid w:val="0048687D"/>
    <w:rsid w:val="00486B12"/>
    <w:rsid w:val="004870E3"/>
    <w:rsid w:val="0048795E"/>
    <w:rsid w:val="00490130"/>
    <w:rsid w:val="0049064C"/>
    <w:rsid w:val="00491DB1"/>
    <w:rsid w:val="004936C8"/>
    <w:rsid w:val="00494991"/>
    <w:rsid w:val="004958C0"/>
    <w:rsid w:val="00495A8C"/>
    <w:rsid w:val="00495C7C"/>
    <w:rsid w:val="00495E39"/>
    <w:rsid w:val="00497371"/>
    <w:rsid w:val="004A281B"/>
    <w:rsid w:val="004A556E"/>
    <w:rsid w:val="004A5C8E"/>
    <w:rsid w:val="004A62BF"/>
    <w:rsid w:val="004A65A3"/>
    <w:rsid w:val="004A6FDC"/>
    <w:rsid w:val="004A78A2"/>
    <w:rsid w:val="004A7ED3"/>
    <w:rsid w:val="004B15AB"/>
    <w:rsid w:val="004B18AA"/>
    <w:rsid w:val="004B1D3C"/>
    <w:rsid w:val="004B3433"/>
    <w:rsid w:val="004B5237"/>
    <w:rsid w:val="004B543D"/>
    <w:rsid w:val="004B7B3E"/>
    <w:rsid w:val="004B7B9D"/>
    <w:rsid w:val="004C242A"/>
    <w:rsid w:val="004C26B9"/>
    <w:rsid w:val="004C2FB0"/>
    <w:rsid w:val="004C3496"/>
    <w:rsid w:val="004C3932"/>
    <w:rsid w:val="004C3F3D"/>
    <w:rsid w:val="004C4A57"/>
    <w:rsid w:val="004C4E08"/>
    <w:rsid w:val="004C550C"/>
    <w:rsid w:val="004C72DB"/>
    <w:rsid w:val="004C7968"/>
    <w:rsid w:val="004D0492"/>
    <w:rsid w:val="004D0D81"/>
    <w:rsid w:val="004D249D"/>
    <w:rsid w:val="004D2D1C"/>
    <w:rsid w:val="004D2D64"/>
    <w:rsid w:val="004D36AF"/>
    <w:rsid w:val="004D3792"/>
    <w:rsid w:val="004D453E"/>
    <w:rsid w:val="004D7AEF"/>
    <w:rsid w:val="004E0B69"/>
    <w:rsid w:val="004E0C5F"/>
    <w:rsid w:val="004E3738"/>
    <w:rsid w:val="004E3FBA"/>
    <w:rsid w:val="004E5975"/>
    <w:rsid w:val="004E5D37"/>
    <w:rsid w:val="004E5EE2"/>
    <w:rsid w:val="004F0485"/>
    <w:rsid w:val="004F0EFD"/>
    <w:rsid w:val="004F2C75"/>
    <w:rsid w:val="004F2CD8"/>
    <w:rsid w:val="004F4106"/>
    <w:rsid w:val="004F67F4"/>
    <w:rsid w:val="00501693"/>
    <w:rsid w:val="00501801"/>
    <w:rsid w:val="00501A40"/>
    <w:rsid w:val="00502EB3"/>
    <w:rsid w:val="0050304A"/>
    <w:rsid w:val="005047C5"/>
    <w:rsid w:val="005065CA"/>
    <w:rsid w:val="00507A40"/>
    <w:rsid w:val="0051138E"/>
    <w:rsid w:val="00512373"/>
    <w:rsid w:val="0051239D"/>
    <w:rsid w:val="005125B5"/>
    <w:rsid w:val="00512E1C"/>
    <w:rsid w:val="005142CC"/>
    <w:rsid w:val="005144BE"/>
    <w:rsid w:val="005154F6"/>
    <w:rsid w:val="005158E4"/>
    <w:rsid w:val="00515D74"/>
    <w:rsid w:val="0051626A"/>
    <w:rsid w:val="00520103"/>
    <w:rsid w:val="00520992"/>
    <w:rsid w:val="00520C4C"/>
    <w:rsid w:val="00522663"/>
    <w:rsid w:val="00522CA6"/>
    <w:rsid w:val="00523C7D"/>
    <w:rsid w:val="00523CED"/>
    <w:rsid w:val="0052540B"/>
    <w:rsid w:val="00525D96"/>
    <w:rsid w:val="005279F5"/>
    <w:rsid w:val="00527BB7"/>
    <w:rsid w:val="00527CBD"/>
    <w:rsid w:val="00527ED9"/>
    <w:rsid w:val="005322D6"/>
    <w:rsid w:val="00532D10"/>
    <w:rsid w:val="00533A0C"/>
    <w:rsid w:val="005352AC"/>
    <w:rsid w:val="00535C23"/>
    <w:rsid w:val="0053755E"/>
    <w:rsid w:val="0053768D"/>
    <w:rsid w:val="0053792E"/>
    <w:rsid w:val="0054086A"/>
    <w:rsid w:val="00540A8F"/>
    <w:rsid w:val="00540FA7"/>
    <w:rsid w:val="00543A82"/>
    <w:rsid w:val="005440E4"/>
    <w:rsid w:val="00544E5C"/>
    <w:rsid w:val="00545062"/>
    <w:rsid w:val="00545362"/>
    <w:rsid w:val="00546FD2"/>
    <w:rsid w:val="00550350"/>
    <w:rsid w:val="005505D9"/>
    <w:rsid w:val="00550DB3"/>
    <w:rsid w:val="00551192"/>
    <w:rsid w:val="0055233F"/>
    <w:rsid w:val="005523CE"/>
    <w:rsid w:val="00552A0F"/>
    <w:rsid w:val="00553E64"/>
    <w:rsid w:val="00555210"/>
    <w:rsid w:val="00555476"/>
    <w:rsid w:val="005569C5"/>
    <w:rsid w:val="00556EFE"/>
    <w:rsid w:val="005574F2"/>
    <w:rsid w:val="00557B82"/>
    <w:rsid w:val="0056006C"/>
    <w:rsid w:val="00560D9E"/>
    <w:rsid w:val="0056134B"/>
    <w:rsid w:val="00561A54"/>
    <w:rsid w:val="0056257F"/>
    <w:rsid w:val="00562A2E"/>
    <w:rsid w:val="00562FD6"/>
    <w:rsid w:val="00563313"/>
    <w:rsid w:val="0056334E"/>
    <w:rsid w:val="0056350C"/>
    <w:rsid w:val="00564EB9"/>
    <w:rsid w:val="00565B0C"/>
    <w:rsid w:val="00565ED5"/>
    <w:rsid w:val="00566494"/>
    <w:rsid w:val="00566918"/>
    <w:rsid w:val="00571018"/>
    <w:rsid w:val="005712F1"/>
    <w:rsid w:val="00571B07"/>
    <w:rsid w:val="00571DEE"/>
    <w:rsid w:val="005729AC"/>
    <w:rsid w:val="0057303E"/>
    <w:rsid w:val="00576C26"/>
    <w:rsid w:val="005775F3"/>
    <w:rsid w:val="00577DB7"/>
    <w:rsid w:val="005802BA"/>
    <w:rsid w:val="00580567"/>
    <w:rsid w:val="005813CD"/>
    <w:rsid w:val="00581847"/>
    <w:rsid w:val="00581A39"/>
    <w:rsid w:val="00581CF7"/>
    <w:rsid w:val="0058398E"/>
    <w:rsid w:val="005839AA"/>
    <w:rsid w:val="005842B5"/>
    <w:rsid w:val="00585833"/>
    <w:rsid w:val="00585BA7"/>
    <w:rsid w:val="005901E8"/>
    <w:rsid w:val="0059266F"/>
    <w:rsid w:val="005940CB"/>
    <w:rsid w:val="005942BA"/>
    <w:rsid w:val="00594940"/>
    <w:rsid w:val="00595D2D"/>
    <w:rsid w:val="005969F3"/>
    <w:rsid w:val="005A0303"/>
    <w:rsid w:val="005A04A1"/>
    <w:rsid w:val="005A0951"/>
    <w:rsid w:val="005A1A93"/>
    <w:rsid w:val="005A1EC5"/>
    <w:rsid w:val="005A2312"/>
    <w:rsid w:val="005A4964"/>
    <w:rsid w:val="005A56EB"/>
    <w:rsid w:val="005A7977"/>
    <w:rsid w:val="005A7F70"/>
    <w:rsid w:val="005B03DD"/>
    <w:rsid w:val="005B09D3"/>
    <w:rsid w:val="005B104E"/>
    <w:rsid w:val="005B1500"/>
    <w:rsid w:val="005B1AB1"/>
    <w:rsid w:val="005B2641"/>
    <w:rsid w:val="005B2B81"/>
    <w:rsid w:val="005B2E4A"/>
    <w:rsid w:val="005B56DF"/>
    <w:rsid w:val="005B59D4"/>
    <w:rsid w:val="005B7C79"/>
    <w:rsid w:val="005C03B8"/>
    <w:rsid w:val="005C061A"/>
    <w:rsid w:val="005C0ABC"/>
    <w:rsid w:val="005C1303"/>
    <w:rsid w:val="005C2082"/>
    <w:rsid w:val="005C2334"/>
    <w:rsid w:val="005C3E0F"/>
    <w:rsid w:val="005C3F09"/>
    <w:rsid w:val="005C7C1B"/>
    <w:rsid w:val="005D1491"/>
    <w:rsid w:val="005D192C"/>
    <w:rsid w:val="005D1CC8"/>
    <w:rsid w:val="005D3810"/>
    <w:rsid w:val="005D3DCF"/>
    <w:rsid w:val="005D5670"/>
    <w:rsid w:val="005D57D6"/>
    <w:rsid w:val="005D63C1"/>
    <w:rsid w:val="005D79DD"/>
    <w:rsid w:val="005E095B"/>
    <w:rsid w:val="005E0B13"/>
    <w:rsid w:val="005E144A"/>
    <w:rsid w:val="005E170A"/>
    <w:rsid w:val="005E2782"/>
    <w:rsid w:val="005E3531"/>
    <w:rsid w:val="005E35A0"/>
    <w:rsid w:val="005E4081"/>
    <w:rsid w:val="005E420B"/>
    <w:rsid w:val="005E609B"/>
    <w:rsid w:val="005F0099"/>
    <w:rsid w:val="005F051C"/>
    <w:rsid w:val="005F11D4"/>
    <w:rsid w:val="005F212F"/>
    <w:rsid w:val="005F2640"/>
    <w:rsid w:val="005F2643"/>
    <w:rsid w:val="005F374D"/>
    <w:rsid w:val="005F481B"/>
    <w:rsid w:val="005F518A"/>
    <w:rsid w:val="00600859"/>
    <w:rsid w:val="00600AAF"/>
    <w:rsid w:val="00600D9A"/>
    <w:rsid w:val="00602142"/>
    <w:rsid w:val="0060354C"/>
    <w:rsid w:val="0060493A"/>
    <w:rsid w:val="0060513E"/>
    <w:rsid w:val="00607DF2"/>
    <w:rsid w:val="0061131B"/>
    <w:rsid w:val="006126C4"/>
    <w:rsid w:val="00612C39"/>
    <w:rsid w:val="00612E8C"/>
    <w:rsid w:val="00613538"/>
    <w:rsid w:val="00613BF1"/>
    <w:rsid w:val="006140E0"/>
    <w:rsid w:val="0061443F"/>
    <w:rsid w:val="00614500"/>
    <w:rsid w:val="006159A5"/>
    <w:rsid w:val="00616B9C"/>
    <w:rsid w:val="00617B65"/>
    <w:rsid w:val="00620AF6"/>
    <w:rsid w:val="00621707"/>
    <w:rsid w:val="00621AE4"/>
    <w:rsid w:val="00622F24"/>
    <w:rsid w:val="0062597F"/>
    <w:rsid w:val="006261DA"/>
    <w:rsid w:val="00626357"/>
    <w:rsid w:val="00626EB7"/>
    <w:rsid w:val="00630B2C"/>
    <w:rsid w:val="00630E7E"/>
    <w:rsid w:val="00631024"/>
    <w:rsid w:val="00631874"/>
    <w:rsid w:val="0063262E"/>
    <w:rsid w:val="006327ED"/>
    <w:rsid w:val="0063428A"/>
    <w:rsid w:val="0063463B"/>
    <w:rsid w:val="00635FBA"/>
    <w:rsid w:val="00636349"/>
    <w:rsid w:val="00637173"/>
    <w:rsid w:val="00640749"/>
    <w:rsid w:val="00641C01"/>
    <w:rsid w:val="00643290"/>
    <w:rsid w:val="00645CAE"/>
    <w:rsid w:val="00645ED1"/>
    <w:rsid w:val="00650229"/>
    <w:rsid w:val="0065028B"/>
    <w:rsid w:val="00650C26"/>
    <w:rsid w:val="00650FD1"/>
    <w:rsid w:val="0065169E"/>
    <w:rsid w:val="0065312D"/>
    <w:rsid w:val="00653661"/>
    <w:rsid w:val="006537FA"/>
    <w:rsid w:val="006558C3"/>
    <w:rsid w:val="00656447"/>
    <w:rsid w:val="00656D95"/>
    <w:rsid w:val="00656EE1"/>
    <w:rsid w:val="00657001"/>
    <w:rsid w:val="006577A4"/>
    <w:rsid w:val="00660141"/>
    <w:rsid w:val="006602F0"/>
    <w:rsid w:val="006604DD"/>
    <w:rsid w:val="00660B08"/>
    <w:rsid w:val="006615A6"/>
    <w:rsid w:val="006617B9"/>
    <w:rsid w:val="00661D11"/>
    <w:rsid w:val="0066313E"/>
    <w:rsid w:val="00663BEC"/>
    <w:rsid w:val="00663FF9"/>
    <w:rsid w:val="006642B8"/>
    <w:rsid w:val="0066432E"/>
    <w:rsid w:val="0066549D"/>
    <w:rsid w:val="00665FA0"/>
    <w:rsid w:val="00667D77"/>
    <w:rsid w:val="0067178F"/>
    <w:rsid w:val="00671BF2"/>
    <w:rsid w:val="00672635"/>
    <w:rsid w:val="0067294C"/>
    <w:rsid w:val="00672EF9"/>
    <w:rsid w:val="006732BB"/>
    <w:rsid w:val="006751D8"/>
    <w:rsid w:val="00675557"/>
    <w:rsid w:val="00675BAD"/>
    <w:rsid w:val="006767D9"/>
    <w:rsid w:val="00677503"/>
    <w:rsid w:val="00680430"/>
    <w:rsid w:val="006804D0"/>
    <w:rsid w:val="00681943"/>
    <w:rsid w:val="00683700"/>
    <w:rsid w:val="006849C4"/>
    <w:rsid w:val="00685AB7"/>
    <w:rsid w:val="006861B0"/>
    <w:rsid w:val="00686D32"/>
    <w:rsid w:val="006906FC"/>
    <w:rsid w:val="00691587"/>
    <w:rsid w:val="00691B88"/>
    <w:rsid w:val="00691E44"/>
    <w:rsid w:val="006921A0"/>
    <w:rsid w:val="00692AAC"/>
    <w:rsid w:val="00693F5A"/>
    <w:rsid w:val="00693F7D"/>
    <w:rsid w:val="0069431B"/>
    <w:rsid w:val="006947A6"/>
    <w:rsid w:val="00694CA3"/>
    <w:rsid w:val="00697399"/>
    <w:rsid w:val="00697604"/>
    <w:rsid w:val="006977AE"/>
    <w:rsid w:val="00697F3D"/>
    <w:rsid w:val="006A0064"/>
    <w:rsid w:val="006A1380"/>
    <w:rsid w:val="006A1D8C"/>
    <w:rsid w:val="006A2DCA"/>
    <w:rsid w:val="006A3550"/>
    <w:rsid w:val="006A4DCE"/>
    <w:rsid w:val="006A6582"/>
    <w:rsid w:val="006A6EF6"/>
    <w:rsid w:val="006A7628"/>
    <w:rsid w:val="006A7D8A"/>
    <w:rsid w:val="006B090A"/>
    <w:rsid w:val="006B0948"/>
    <w:rsid w:val="006B132B"/>
    <w:rsid w:val="006B2607"/>
    <w:rsid w:val="006B2ACC"/>
    <w:rsid w:val="006B3027"/>
    <w:rsid w:val="006B37F9"/>
    <w:rsid w:val="006B3C39"/>
    <w:rsid w:val="006B3D5B"/>
    <w:rsid w:val="006B3E40"/>
    <w:rsid w:val="006B3F82"/>
    <w:rsid w:val="006B4106"/>
    <w:rsid w:val="006B4DE4"/>
    <w:rsid w:val="006B53A1"/>
    <w:rsid w:val="006B56F8"/>
    <w:rsid w:val="006B57D0"/>
    <w:rsid w:val="006B5D1F"/>
    <w:rsid w:val="006B5DBF"/>
    <w:rsid w:val="006B6717"/>
    <w:rsid w:val="006B7347"/>
    <w:rsid w:val="006C0BED"/>
    <w:rsid w:val="006C0C36"/>
    <w:rsid w:val="006C155C"/>
    <w:rsid w:val="006C15E8"/>
    <w:rsid w:val="006C1D57"/>
    <w:rsid w:val="006C218B"/>
    <w:rsid w:val="006C3DF2"/>
    <w:rsid w:val="006C52A1"/>
    <w:rsid w:val="006C6DA0"/>
    <w:rsid w:val="006C6E3B"/>
    <w:rsid w:val="006C7920"/>
    <w:rsid w:val="006C7F18"/>
    <w:rsid w:val="006D0B04"/>
    <w:rsid w:val="006D137C"/>
    <w:rsid w:val="006D18CC"/>
    <w:rsid w:val="006D1CBC"/>
    <w:rsid w:val="006D2AC8"/>
    <w:rsid w:val="006D3A5C"/>
    <w:rsid w:val="006D434E"/>
    <w:rsid w:val="006D4F87"/>
    <w:rsid w:val="006E03D9"/>
    <w:rsid w:val="006E0611"/>
    <w:rsid w:val="006E2D48"/>
    <w:rsid w:val="006E3B58"/>
    <w:rsid w:val="006E49E3"/>
    <w:rsid w:val="006E67FB"/>
    <w:rsid w:val="006E76A9"/>
    <w:rsid w:val="006F08AE"/>
    <w:rsid w:val="006F0E6D"/>
    <w:rsid w:val="006F28A2"/>
    <w:rsid w:val="006F2DCC"/>
    <w:rsid w:val="006F3663"/>
    <w:rsid w:val="006F3BDA"/>
    <w:rsid w:val="006F53AB"/>
    <w:rsid w:val="006F54B4"/>
    <w:rsid w:val="006F5C59"/>
    <w:rsid w:val="006F5FBC"/>
    <w:rsid w:val="006F693C"/>
    <w:rsid w:val="006F716B"/>
    <w:rsid w:val="006F782C"/>
    <w:rsid w:val="00700015"/>
    <w:rsid w:val="00701868"/>
    <w:rsid w:val="00702985"/>
    <w:rsid w:val="00703BA2"/>
    <w:rsid w:val="00703C88"/>
    <w:rsid w:val="00703D61"/>
    <w:rsid w:val="007052D5"/>
    <w:rsid w:val="0070551B"/>
    <w:rsid w:val="00706C70"/>
    <w:rsid w:val="0071315A"/>
    <w:rsid w:val="007155DE"/>
    <w:rsid w:val="00716C07"/>
    <w:rsid w:val="0071714F"/>
    <w:rsid w:val="007174E1"/>
    <w:rsid w:val="00720253"/>
    <w:rsid w:val="00721E07"/>
    <w:rsid w:val="00722EF7"/>
    <w:rsid w:val="00724B69"/>
    <w:rsid w:val="00724C65"/>
    <w:rsid w:val="00725918"/>
    <w:rsid w:val="00726DF4"/>
    <w:rsid w:val="00727071"/>
    <w:rsid w:val="00730D4C"/>
    <w:rsid w:val="00731193"/>
    <w:rsid w:val="00731F2D"/>
    <w:rsid w:val="00732567"/>
    <w:rsid w:val="007328B3"/>
    <w:rsid w:val="00733633"/>
    <w:rsid w:val="0073395A"/>
    <w:rsid w:val="0073460A"/>
    <w:rsid w:val="0073577B"/>
    <w:rsid w:val="00735A0F"/>
    <w:rsid w:val="007366DD"/>
    <w:rsid w:val="00740058"/>
    <w:rsid w:val="007425AA"/>
    <w:rsid w:val="00742F49"/>
    <w:rsid w:val="00744266"/>
    <w:rsid w:val="00744480"/>
    <w:rsid w:val="007453BB"/>
    <w:rsid w:val="0074750A"/>
    <w:rsid w:val="007505FA"/>
    <w:rsid w:val="00751C50"/>
    <w:rsid w:val="00752A6A"/>
    <w:rsid w:val="0075385E"/>
    <w:rsid w:val="00753A8F"/>
    <w:rsid w:val="00757219"/>
    <w:rsid w:val="00760B5E"/>
    <w:rsid w:val="00761EF8"/>
    <w:rsid w:val="00763084"/>
    <w:rsid w:val="007645F6"/>
    <w:rsid w:val="007656F1"/>
    <w:rsid w:val="0076579D"/>
    <w:rsid w:val="007666EF"/>
    <w:rsid w:val="00766F45"/>
    <w:rsid w:val="00767522"/>
    <w:rsid w:val="00770D17"/>
    <w:rsid w:val="00771236"/>
    <w:rsid w:val="00771613"/>
    <w:rsid w:val="00771AEB"/>
    <w:rsid w:val="007738F0"/>
    <w:rsid w:val="00773DFA"/>
    <w:rsid w:val="00775425"/>
    <w:rsid w:val="007756CE"/>
    <w:rsid w:val="007771C7"/>
    <w:rsid w:val="007776E0"/>
    <w:rsid w:val="00777B51"/>
    <w:rsid w:val="00781654"/>
    <w:rsid w:val="00781C6C"/>
    <w:rsid w:val="00781DDB"/>
    <w:rsid w:val="0078357A"/>
    <w:rsid w:val="00784200"/>
    <w:rsid w:val="0078524A"/>
    <w:rsid w:val="00785828"/>
    <w:rsid w:val="007860CA"/>
    <w:rsid w:val="00786228"/>
    <w:rsid w:val="007902DA"/>
    <w:rsid w:val="00791180"/>
    <w:rsid w:val="00793086"/>
    <w:rsid w:val="00794281"/>
    <w:rsid w:val="007948CD"/>
    <w:rsid w:val="007948F5"/>
    <w:rsid w:val="00796017"/>
    <w:rsid w:val="007A1C4A"/>
    <w:rsid w:val="007A30FA"/>
    <w:rsid w:val="007A316D"/>
    <w:rsid w:val="007A37BB"/>
    <w:rsid w:val="007A38DD"/>
    <w:rsid w:val="007A3BEE"/>
    <w:rsid w:val="007A40AB"/>
    <w:rsid w:val="007A502E"/>
    <w:rsid w:val="007A5FC8"/>
    <w:rsid w:val="007A6438"/>
    <w:rsid w:val="007B05CA"/>
    <w:rsid w:val="007B07CA"/>
    <w:rsid w:val="007B1276"/>
    <w:rsid w:val="007B141D"/>
    <w:rsid w:val="007B2948"/>
    <w:rsid w:val="007B325F"/>
    <w:rsid w:val="007B43BB"/>
    <w:rsid w:val="007B53A1"/>
    <w:rsid w:val="007B5A50"/>
    <w:rsid w:val="007B68D1"/>
    <w:rsid w:val="007B7512"/>
    <w:rsid w:val="007B7C35"/>
    <w:rsid w:val="007B7FAC"/>
    <w:rsid w:val="007C082F"/>
    <w:rsid w:val="007C1CF5"/>
    <w:rsid w:val="007C2D15"/>
    <w:rsid w:val="007C3DD1"/>
    <w:rsid w:val="007C44BD"/>
    <w:rsid w:val="007C5240"/>
    <w:rsid w:val="007C543D"/>
    <w:rsid w:val="007C565F"/>
    <w:rsid w:val="007C6B52"/>
    <w:rsid w:val="007C7279"/>
    <w:rsid w:val="007D07DA"/>
    <w:rsid w:val="007D4765"/>
    <w:rsid w:val="007D50CE"/>
    <w:rsid w:val="007D5425"/>
    <w:rsid w:val="007D5A81"/>
    <w:rsid w:val="007D6646"/>
    <w:rsid w:val="007D7568"/>
    <w:rsid w:val="007D776C"/>
    <w:rsid w:val="007E16F8"/>
    <w:rsid w:val="007E1C9E"/>
    <w:rsid w:val="007E27E6"/>
    <w:rsid w:val="007E281C"/>
    <w:rsid w:val="007E2B77"/>
    <w:rsid w:val="007E2EC1"/>
    <w:rsid w:val="007E4367"/>
    <w:rsid w:val="007E5462"/>
    <w:rsid w:val="007E5862"/>
    <w:rsid w:val="007E5BCB"/>
    <w:rsid w:val="007E6A41"/>
    <w:rsid w:val="007F2C57"/>
    <w:rsid w:val="007F358C"/>
    <w:rsid w:val="007F3E83"/>
    <w:rsid w:val="007F44D4"/>
    <w:rsid w:val="007F7586"/>
    <w:rsid w:val="007F75E4"/>
    <w:rsid w:val="00800236"/>
    <w:rsid w:val="00800A7D"/>
    <w:rsid w:val="0080141C"/>
    <w:rsid w:val="0080149B"/>
    <w:rsid w:val="00802163"/>
    <w:rsid w:val="008040F9"/>
    <w:rsid w:val="008055F9"/>
    <w:rsid w:val="00805AD5"/>
    <w:rsid w:val="008060F8"/>
    <w:rsid w:val="008074E8"/>
    <w:rsid w:val="00807C0B"/>
    <w:rsid w:val="00807F62"/>
    <w:rsid w:val="0081077D"/>
    <w:rsid w:val="00810AD4"/>
    <w:rsid w:val="00810BB4"/>
    <w:rsid w:val="00811905"/>
    <w:rsid w:val="00811B0C"/>
    <w:rsid w:val="00812924"/>
    <w:rsid w:val="00812CD8"/>
    <w:rsid w:val="00814039"/>
    <w:rsid w:val="008144C1"/>
    <w:rsid w:val="008145EF"/>
    <w:rsid w:val="008146C0"/>
    <w:rsid w:val="00815344"/>
    <w:rsid w:val="008176C7"/>
    <w:rsid w:val="0081792D"/>
    <w:rsid w:val="00821118"/>
    <w:rsid w:val="008218E6"/>
    <w:rsid w:val="00822D71"/>
    <w:rsid w:val="00823F39"/>
    <w:rsid w:val="0082444A"/>
    <w:rsid w:val="00826471"/>
    <w:rsid w:val="00827657"/>
    <w:rsid w:val="008303BD"/>
    <w:rsid w:val="00830C1D"/>
    <w:rsid w:val="00831882"/>
    <w:rsid w:val="00831AF2"/>
    <w:rsid w:val="00832246"/>
    <w:rsid w:val="00833BA4"/>
    <w:rsid w:val="00833D8C"/>
    <w:rsid w:val="00833E77"/>
    <w:rsid w:val="008355A8"/>
    <w:rsid w:val="008357D9"/>
    <w:rsid w:val="0083656F"/>
    <w:rsid w:val="0083686B"/>
    <w:rsid w:val="00836F03"/>
    <w:rsid w:val="008374BA"/>
    <w:rsid w:val="00837508"/>
    <w:rsid w:val="00837750"/>
    <w:rsid w:val="00841334"/>
    <w:rsid w:val="008417DE"/>
    <w:rsid w:val="00841910"/>
    <w:rsid w:val="00841A10"/>
    <w:rsid w:val="00842C0B"/>
    <w:rsid w:val="008439F6"/>
    <w:rsid w:val="00843D6F"/>
    <w:rsid w:val="00844223"/>
    <w:rsid w:val="00844527"/>
    <w:rsid w:val="008453D6"/>
    <w:rsid w:val="0084653C"/>
    <w:rsid w:val="00846A5A"/>
    <w:rsid w:val="0085010E"/>
    <w:rsid w:val="00850438"/>
    <w:rsid w:val="00850497"/>
    <w:rsid w:val="00855514"/>
    <w:rsid w:val="00855690"/>
    <w:rsid w:val="00855A58"/>
    <w:rsid w:val="00855C45"/>
    <w:rsid w:val="008564EB"/>
    <w:rsid w:val="00857075"/>
    <w:rsid w:val="00860426"/>
    <w:rsid w:val="008619A4"/>
    <w:rsid w:val="00861BA9"/>
    <w:rsid w:val="0086314F"/>
    <w:rsid w:val="00863EAA"/>
    <w:rsid w:val="00864338"/>
    <w:rsid w:val="00864925"/>
    <w:rsid w:val="00865571"/>
    <w:rsid w:val="00870935"/>
    <w:rsid w:val="00871288"/>
    <w:rsid w:val="008717EA"/>
    <w:rsid w:val="00871FAD"/>
    <w:rsid w:val="0087256D"/>
    <w:rsid w:val="008729FB"/>
    <w:rsid w:val="00873A58"/>
    <w:rsid w:val="00874490"/>
    <w:rsid w:val="00874A3C"/>
    <w:rsid w:val="00874B1F"/>
    <w:rsid w:val="00874B8C"/>
    <w:rsid w:val="00880ADF"/>
    <w:rsid w:val="008813A8"/>
    <w:rsid w:val="00881C96"/>
    <w:rsid w:val="00883D2B"/>
    <w:rsid w:val="00883ECB"/>
    <w:rsid w:val="00886B39"/>
    <w:rsid w:val="00887681"/>
    <w:rsid w:val="008879E4"/>
    <w:rsid w:val="00890F76"/>
    <w:rsid w:val="00892737"/>
    <w:rsid w:val="00893245"/>
    <w:rsid w:val="00893FF3"/>
    <w:rsid w:val="00894786"/>
    <w:rsid w:val="00895A43"/>
    <w:rsid w:val="00896251"/>
    <w:rsid w:val="0089679D"/>
    <w:rsid w:val="008A0488"/>
    <w:rsid w:val="008A091F"/>
    <w:rsid w:val="008A16EC"/>
    <w:rsid w:val="008A1C0D"/>
    <w:rsid w:val="008A29DF"/>
    <w:rsid w:val="008A3059"/>
    <w:rsid w:val="008A39B5"/>
    <w:rsid w:val="008A39FA"/>
    <w:rsid w:val="008A4017"/>
    <w:rsid w:val="008A51D2"/>
    <w:rsid w:val="008A61E8"/>
    <w:rsid w:val="008B0F0C"/>
    <w:rsid w:val="008B4055"/>
    <w:rsid w:val="008B449E"/>
    <w:rsid w:val="008B64DF"/>
    <w:rsid w:val="008B6590"/>
    <w:rsid w:val="008B6CD9"/>
    <w:rsid w:val="008C0121"/>
    <w:rsid w:val="008C104B"/>
    <w:rsid w:val="008C1290"/>
    <w:rsid w:val="008C1A7A"/>
    <w:rsid w:val="008C2111"/>
    <w:rsid w:val="008C27E3"/>
    <w:rsid w:val="008C39A3"/>
    <w:rsid w:val="008C4A7A"/>
    <w:rsid w:val="008C4B6F"/>
    <w:rsid w:val="008C6876"/>
    <w:rsid w:val="008C7211"/>
    <w:rsid w:val="008C740F"/>
    <w:rsid w:val="008C774A"/>
    <w:rsid w:val="008C7DCD"/>
    <w:rsid w:val="008D1376"/>
    <w:rsid w:val="008D1B1C"/>
    <w:rsid w:val="008D43F7"/>
    <w:rsid w:val="008D4B25"/>
    <w:rsid w:val="008D7C8C"/>
    <w:rsid w:val="008D7E2D"/>
    <w:rsid w:val="008D7E5C"/>
    <w:rsid w:val="008E11A0"/>
    <w:rsid w:val="008E2F98"/>
    <w:rsid w:val="008E34E9"/>
    <w:rsid w:val="008E3B0C"/>
    <w:rsid w:val="008E3F2E"/>
    <w:rsid w:val="008E5070"/>
    <w:rsid w:val="008E590F"/>
    <w:rsid w:val="008E5A10"/>
    <w:rsid w:val="008E5C38"/>
    <w:rsid w:val="008E61AE"/>
    <w:rsid w:val="008E7926"/>
    <w:rsid w:val="008E7EE0"/>
    <w:rsid w:val="008F052A"/>
    <w:rsid w:val="008F163C"/>
    <w:rsid w:val="008F251B"/>
    <w:rsid w:val="008F2559"/>
    <w:rsid w:val="008F410C"/>
    <w:rsid w:val="008F50A3"/>
    <w:rsid w:val="008F55B6"/>
    <w:rsid w:val="008F78E8"/>
    <w:rsid w:val="008F7982"/>
    <w:rsid w:val="0090099B"/>
    <w:rsid w:val="009010C9"/>
    <w:rsid w:val="009021CD"/>
    <w:rsid w:val="00902A66"/>
    <w:rsid w:val="009031FA"/>
    <w:rsid w:val="00903240"/>
    <w:rsid w:val="009049D9"/>
    <w:rsid w:val="00905CCC"/>
    <w:rsid w:val="009071C9"/>
    <w:rsid w:val="009078AD"/>
    <w:rsid w:val="00907DC8"/>
    <w:rsid w:val="00910618"/>
    <w:rsid w:val="00912137"/>
    <w:rsid w:val="009124A2"/>
    <w:rsid w:val="00913E97"/>
    <w:rsid w:val="0091423C"/>
    <w:rsid w:val="00914B21"/>
    <w:rsid w:val="00915013"/>
    <w:rsid w:val="0091516F"/>
    <w:rsid w:val="009151E3"/>
    <w:rsid w:val="00915615"/>
    <w:rsid w:val="0091619F"/>
    <w:rsid w:val="00921038"/>
    <w:rsid w:val="009223D1"/>
    <w:rsid w:val="009224A7"/>
    <w:rsid w:val="0092268E"/>
    <w:rsid w:val="0092280D"/>
    <w:rsid w:val="00923F44"/>
    <w:rsid w:val="00924782"/>
    <w:rsid w:val="009254B6"/>
    <w:rsid w:val="00925658"/>
    <w:rsid w:val="00926189"/>
    <w:rsid w:val="009265CF"/>
    <w:rsid w:val="00926710"/>
    <w:rsid w:val="00927186"/>
    <w:rsid w:val="009276C9"/>
    <w:rsid w:val="00930AD0"/>
    <w:rsid w:val="00930BE6"/>
    <w:rsid w:val="0093186C"/>
    <w:rsid w:val="009340F4"/>
    <w:rsid w:val="00934B31"/>
    <w:rsid w:val="00934B34"/>
    <w:rsid w:val="0093503F"/>
    <w:rsid w:val="00935138"/>
    <w:rsid w:val="00935D81"/>
    <w:rsid w:val="009373ED"/>
    <w:rsid w:val="00937835"/>
    <w:rsid w:val="0094025A"/>
    <w:rsid w:val="009405D7"/>
    <w:rsid w:val="00940C3E"/>
    <w:rsid w:val="00943694"/>
    <w:rsid w:val="00944C3C"/>
    <w:rsid w:val="00945360"/>
    <w:rsid w:val="009458EE"/>
    <w:rsid w:val="00945D48"/>
    <w:rsid w:val="00946545"/>
    <w:rsid w:val="00946EC1"/>
    <w:rsid w:val="00947390"/>
    <w:rsid w:val="00950007"/>
    <w:rsid w:val="009507B9"/>
    <w:rsid w:val="009521AA"/>
    <w:rsid w:val="00953D66"/>
    <w:rsid w:val="00957624"/>
    <w:rsid w:val="00957F83"/>
    <w:rsid w:val="00960C73"/>
    <w:rsid w:val="00963982"/>
    <w:rsid w:val="009639E8"/>
    <w:rsid w:val="00963CC8"/>
    <w:rsid w:val="0096496C"/>
    <w:rsid w:val="00966B80"/>
    <w:rsid w:val="00970429"/>
    <w:rsid w:val="00970B7C"/>
    <w:rsid w:val="00970D3E"/>
    <w:rsid w:val="00971D0D"/>
    <w:rsid w:val="00972A9A"/>
    <w:rsid w:val="00975983"/>
    <w:rsid w:val="00975AF2"/>
    <w:rsid w:val="0097601B"/>
    <w:rsid w:val="00976D2A"/>
    <w:rsid w:val="009772E4"/>
    <w:rsid w:val="009775ED"/>
    <w:rsid w:val="009778ED"/>
    <w:rsid w:val="00980614"/>
    <w:rsid w:val="00980EA4"/>
    <w:rsid w:val="00981BFB"/>
    <w:rsid w:val="00983305"/>
    <w:rsid w:val="00984551"/>
    <w:rsid w:val="00985685"/>
    <w:rsid w:val="00985BB0"/>
    <w:rsid w:val="0098636F"/>
    <w:rsid w:val="00986F99"/>
    <w:rsid w:val="00987033"/>
    <w:rsid w:val="00990581"/>
    <w:rsid w:val="00991824"/>
    <w:rsid w:val="00991E62"/>
    <w:rsid w:val="0099215E"/>
    <w:rsid w:val="00992438"/>
    <w:rsid w:val="00992D79"/>
    <w:rsid w:val="00993FBB"/>
    <w:rsid w:val="0099583F"/>
    <w:rsid w:val="009959F3"/>
    <w:rsid w:val="00996AC2"/>
    <w:rsid w:val="009A00B8"/>
    <w:rsid w:val="009A228D"/>
    <w:rsid w:val="009A294D"/>
    <w:rsid w:val="009A2A4B"/>
    <w:rsid w:val="009A34C5"/>
    <w:rsid w:val="009A368C"/>
    <w:rsid w:val="009A4F85"/>
    <w:rsid w:val="009A51DF"/>
    <w:rsid w:val="009A59E5"/>
    <w:rsid w:val="009A5D74"/>
    <w:rsid w:val="009A5F17"/>
    <w:rsid w:val="009A65B5"/>
    <w:rsid w:val="009A7B98"/>
    <w:rsid w:val="009B05B2"/>
    <w:rsid w:val="009B05F7"/>
    <w:rsid w:val="009B33EF"/>
    <w:rsid w:val="009B39D2"/>
    <w:rsid w:val="009B3DD4"/>
    <w:rsid w:val="009B3FD1"/>
    <w:rsid w:val="009B44B0"/>
    <w:rsid w:val="009B4A7E"/>
    <w:rsid w:val="009B4DC6"/>
    <w:rsid w:val="009B522F"/>
    <w:rsid w:val="009B611E"/>
    <w:rsid w:val="009B61CC"/>
    <w:rsid w:val="009B7355"/>
    <w:rsid w:val="009B754B"/>
    <w:rsid w:val="009C160D"/>
    <w:rsid w:val="009C1980"/>
    <w:rsid w:val="009C27B3"/>
    <w:rsid w:val="009C34AC"/>
    <w:rsid w:val="009C3615"/>
    <w:rsid w:val="009C451C"/>
    <w:rsid w:val="009C4C91"/>
    <w:rsid w:val="009C65D3"/>
    <w:rsid w:val="009C75E8"/>
    <w:rsid w:val="009D07C1"/>
    <w:rsid w:val="009D10F3"/>
    <w:rsid w:val="009D197E"/>
    <w:rsid w:val="009D2746"/>
    <w:rsid w:val="009D2ACD"/>
    <w:rsid w:val="009D414B"/>
    <w:rsid w:val="009D5DC3"/>
    <w:rsid w:val="009E0A9E"/>
    <w:rsid w:val="009E0F1E"/>
    <w:rsid w:val="009E1A78"/>
    <w:rsid w:val="009E2046"/>
    <w:rsid w:val="009E23FD"/>
    <w:rsid w:val="009E2859"/>
    <w:rsid w:val="009E2F4F"/>
    <w:rsid w:val="009E3899"/>
    <w:rsid w:val="009E4256"/>
    <w:rsid w:val="009F0D53"/>
    <w:rsid w:val="009F1985"/>
    <w:rsid w:val="009F25B7"/>
    <w:rsid w:val="009F51B9"/>
    <w:rsid w:val="009F520D"/>
    <w:rsid w:val="009F6728"/>
    <w:rsid w:val="009F6FD8"/>
    <w:rsid w:val="009F76E4"/>
    <w:rsid w:val="00A015AA"/>
    <w:rsid w:val="00A02A6B"/>
    <w:rsid w:val="00A02ED4"/>
    <w:rsid w:val="00A03158"/>
    <w:rsid w:val="00A0330D"/>
    <w:rsid w:val="00A04716"/>
    <w:rsid w:val="00A049EA"/>
    <w:rsid w:val="00A04C24"/>
    <w:rsid w:val="00A05E01"/>
    <w:rsid w:val="00A06588"/>
    <w:rsid w:val="00A06F29"/>
    <w:rsid w:val="00A0727E"/>
    <w:rsid w:val="00A07EEE"/>
    <w:rsid w:val="00A10E5F"/>
    <w:rsid w:val="00A10F57"/>
    <w:rsid w:val="00A114F9"/>
    <w:rsid w:val="00A124DB"/>
    <w:rsid w:val="00A14076"/>
    <w:rsid w:val="00A140BC"/>
    <w:rsid w:val="00A144CD"/>
    <w:rsid w:val="00A165CE"/>
    <w:rsid w:val="00A20640"/>
    <w:rsid w:val="00A2088E"/>
    <w:rsid w:val="00A208B8"/>
    <w:rsid w:val="00A21E52"/>
    <w:rsid w:val="00A225CD"/>
    <w:rsid w:val="00A22D36"/>
    <w:rsid w:val="00A2308C"/>
    <w:rsid w:val="00A23603"/>
    <w:rsid w:val="00A23C68"/>
    <w:rsid w:val="00A246E4"/>
    <w:rsid w:val="00A253F8"/>
    <w:rsid w:val="00A255F7"/>
    <w:rsid w:val="00A26593"/>
    <w:rsid w:val="00A265BA"/>
    <w:rsid w:val="00A2699A"/>
    <w:rsid w:val="00A2716A"/>
    <w:rsid w:val="00A3118A"/>
    <w:rsid w:val="00A31BA9"/>
    <w:rsid w:val="00A337AC"/>
    <w:rsid w:val="00A34921"/>
    <w:rsid w:val="00A352F5"/>
    <w:rsid w:val="00A355E5"/>
    <w:rsid w:val="00A362DB"/>
    <w:rsid w:val="00A36D8E"/>
    <w:rsid w:val="00A371D7"/>
    <w:rsid w:val="00A37547"/>
    <w:rsid w:val="00A37B5C"/>
    <w:rsid w:val="00A37F08"/>
    <w:rsid w:val="00A401F8"/>
    <w:rsid w:val="00A4130D"/>
    <w:rsid w:val="00A41940"/>
    <w:rsid w:val="00A41E33"/>
    <w:rsid w:val="00A427BF"/>
    <w:rsid w:val="00A43230"/>
    <w:rsid w:val="00A43C28"/>
    <w:rsid w:val="00A45B06"/>
    <w:rsid w:val="00A47E27"/>
    <w:rsid w:val="00A5013D"/>
    <w:rsid w:val="00A50BAD"/>
    <w:rsid w:val="00A514A8"/>
    <w:rsid w:val="00A51844"/>
    <w:rsid w:val="00A51EFD"/>
    <w:rsid w:val="00A521D7"/>
    <w:rsid w:val="00A5235C"/>
    <w:rsid w:val="00A5263C"/>
    <w:rsid w:val="00A52DB4"/>
    <w:rsid w:val="00A53D90"/>
    <w:rsid w:val="00A547F7"/>
    <w:rsid w:val="00A610DE"/>
    <w:rsid w:val="00A62691"/>
    <w:rsid w:val="00A635CD"/>
    <w:rsid w:val="00A63DEB"/>
    <w:rsid w:val="00A648DD"/>
    <w:rsid w:val="00A64C5A"/>
    <w:rsid w:val="00A66045"/>
    <w:rsid w:val="00A70598"/>
    <w:rsid w:val="00A7130D"/>
    <w:rsid w:val="00A71704"/>
    <w:rsid w:val="00A719BC"/>
    <w:rsid w:val="00A71EBE"/>
    <w:rsid w:val="00A72132"/>
    <w:rsid w:val="00A722CF"/>
    <w:rsid w:val="00A7286D"/>
    <w:rsid w:val="00A7288A"/>
    <w:rsid w:val="00A72DA4"/>
    <w:rsid w:val="00A72E66"/>
    <w:rsid w:val="00A74167"/>
    <w:rsid w:val="00A741FA"/>
    <w:rsid w:val="00A75083"/>
    <w:rsid w:val="00A759B6"/>
    <w:rsid w:val="00A76D4F"/>
    <w:rsid w:val="00A77966"/>
    <w:rsid w:val="00A77969"/>
    <w:rsid w:val="00A77DDB"/>
    <w:rsid w:val="00A8146A"/>
    <w:rsid w:val="00A81934"/>
    <w:rsid w:val="00A82572"/>
    <w:rsid w:val="00A82B4D"/>
    <w:rsid w:val="00A82BDA"/>
    <w:rsid w:val="00A82C16"/>
    <w:rsid w:val="00A82D81"/>
    <w:rsid w:val="00A82FE6"/>
    <w:rsid w:val="00A84183"/>
    <w:rsid w:val="00A84B58"/>
    <w:rsid w:val="00A8525F"/>
    <w:rsid w:val="00A866D0"/>
    <w:rsid w:val="00A86B0C"/>
    <w:rsid w:val="00A9192D"/>
    <w:rsid w:val="00A91A9A"/>
    <w:rsid w:val="00A93DC6"/>
    <w:rsid w:val="00A9464C"/>
    <w:rsid w:val="00A94B72"/>
    <w:rsid w:val="00A94C67"/>
    <w:rsid w:val="00A95AEA"/>
    <w:rsid w:val="00A95ED6"/>
    <w:rsid w:val="00AA01DC"/>
    <w:rsid w:val="00AA0F35"/>
    <w:rsid w:val="00AA19FC"/>
    <w:rsid w:val="00AA212A"/>
    <w:rsid w:val="00AA277F"/>
    <w:rsid w:val="00AA27B5"/>
    <w:rsid w:val="00AA2E46"/>
    <w:rsid w:val="00AA3395"/>
    <w:rsid w:val="00AA3DEF"/>
    <w:rsid w:val="00AA4790"/>
    <w:rsid w:val="00AA52A0"/>
    <w:rsid w:val="00AA62BE"/>
    <w:rsid w:val="00AA6BAE"/>
    <w:rsid w:val="00AB014D"/>
    <w:rsid w:val="00AB030E"/>
    <w:rsid w:val="00AB06FA"/>
    <w:rsid w:val="00AB14BD"/>
    <w:rsid w:val="00AB20CA"/>
    <w:rsid w:val="00AB2343"/>
    <w:rsid w:val="00AB2484"/>
    <w:rsid w:val="00AB40C4"/>
    <w:rsid w:val="00AB4B77"/>
    <w:rsid w:val="00AB4D06"/>
    <w:rsid w:val="00AB5904"/>
    <w:rsid w:val="00AC026B"/>
    <w:rsid w:val="00AC2C1C"/>
    <w:rsid w:val="00AC471F"/>
    <w:rsid w:val="00AC55C3"/>
    <w:rsid w:val="00AC5618"/>
    <w:rsid w:val="00AC5EC2"/>
    <w:rsid w:val="00AC5F78"/>
    <w:rsid w:val="00AC73EB"/>
    <w:rsid w:val="00AD02F9"/>
    <w:rsid w:val="00AD0A9B"/>
    <w:rsid w:val="00AD2545"/>
    <w:rsid w:val="00AD2BA5"/>
    <w:rsid w:val="00AD379E"/>
    <w:rsid w:val="00AD4792"/>
    <w:rsid w:val="00AD4CAF"/>
    <w:rsid w:val="00AD4E11"/>
    <w:rsid w:val="00AD5089"/>
    <w:rsid w:val="00AD516F"/>
    <w:rsid w:val="00AD5F2A"/>
    <w:rsid w:val="00AD611F"/>
    <w:rsid w:val="00AD6658"/>
    <w:rsid w:val="00AD7257"/>
    <w:rsid w:val="00AD7E4B"/>
    <w:rsid w:val="00AE0541"/>
    <w:rsid w:val="00AE116B"/>
    <w:rsid w:val="00AE1922"/>
    <w:rsid w:val="00AE1CB6"/>
    <w:rsid w:val="00AE1F74"/>
    <w:rsid w:val="00AE2F2C"/>
    <w:rsid w:val="00AE3321"/>
    <w:rsid w:val="00AE3341"/>
    <w:rsid w:val="00AE43E7"/>
    <w:rsid w:val="00AE4B28"/>
    <w:rsid w:val="00AE6306"/>
    <w:rsid w:val="00AE630E"/>
    <w:rsid w:val="00AE6486"/>
    <w:rsid w:val="00AE7309"/>
    <w:rsid w:val="00AF0C0D"/>
    <w:rsid w:val="00AF121E"/>
    <w:rsid w:val="00AF12EB"/>
    <w:rsid w:val="00AF1793"/>
    <w:rsid w:val="00AF19D0"/>
    <w:rsid w:val="00AF2512"/>
    <w:rsid w:val="00AF26DB"/>
    <w:rsid w:val="00AF2AEE"/>
    <w:rsid w:val="00AF2D00"/>
    <w:rsid w:val="00AF2F1A"/>
    <w:rsid w:val="00AF338F"/>
    <w:rsid w:val="00AF513E"/>
    <w:rsid w:val="00AF581C"/>
    <w:rsid w:val="00AF6BAE"/>
    <w:rsid w:val="00AF6CAE"/>
    <w:rsid w:val="00AF7D8C"/>
    <w:rsid w:val="00AF7EE0"/>
    <w:rsid w:val="00B001DF"/>
    <w:rsid w:val="00B01646"/>
    <w:rsid w:val="00B02EFD"/>
    <w:rsid w:val="00B037B5"/>
    <w:rsid w:val="00B03B15"/>
    <w:rsid w:val="00B046C2"/>
    <w:rsid w:val="00B059DD"/>
    <w:rsid w:val="00B05F32"/>
    <w:rsid w:val="00B0671A"/>
    <w:rsid w:val="00B11163"/>
    <w:rsid w:val="00B11277"/>
    <w:rsid w:val="00B11F30"/>
    <w:rsid w:val="00B124A9"/>
    <w:rsid w:val="00B1368D"/>
    <w:rsid w:val="00B1382F"/>
    <w:rsid w:val="00B1435F"/>
    <w:rsid w:val="00B146EE"/>
    <w:rsid w:val="00B16407"/>
    <w:rsid w:val="00B165C6"/>
    <w:rsid w:val="00B174DB"/>
    <w:rsid w:val="00B17D9C"/>
    <w:rsid w:val="00B17FCA"/>
    <w:rsid w:val="00B206FF"/>
    <w:rsid w:val="00B20846"/>
    <w:rsid w:val="00B2109A"/>
    <w:rsid w:val="00B226D8"/>
    <w:rsid w:val="00B24069"/>
    <w:rsid w:val="00B24BE8"/>
    <w:rsid w:val="00B24C92"/>
    <w:rsid w:val="00B251CC"/>
    <w:rsid w:val="00B30128"/>
    <w:rsid w:val="00B31C4F"/>
    <w:rsid w:val="00B32C5C"/>
    <w:rsid w:val="00B3376E"/>
    <w:rsid w:val="00B34A1F"/>
    <w:rsid w:val="00B35BE1"/>
    <w:rsid w:val="00B35D80"/>
    <w:rsid w:val="00B35DF7"/>
    <w:rsid w:val="00B3606E"/>
    <w:rsid w:val="00B3726D"/>
    <w:rsid w:val="00B3748D"/>
    <w:rsid w:val="00B4077F"/>
    <w:rsid w:val="00B41D3E"/>
    <w:rsid w:val="00B41DA3"/>
    <w:rsid w:val="00B41E2A"/>
    <w:rsid w:val="00B43DDB"/>
    <w:rsid w:val="00B44F0F"/>
    <w:rsid w:val="00B4559D"/>
    <w:rsid w:val="00B47159"/>
    <w:rsid w:val="00B478A8"/>
    <w:rsid w:val="00B55050"/>
    <w:rsid w:val="00B56179"/>
    <w:rsid w:val="00B561E0"/>
    <w:rsid w:val="00B56297"/>
    <w:rsid w:val="00B57D41"/>
    <w:rsid w:val="00B57F89"/>
    <w:rsid w:val="00B606E6"/>
    <w:rsid w:val="00B61026"/>
    <w:rsid w:val="00B61619"/>
    <w:rsid w:val="00B61C11"/>
    <w:rsid w:val="00B62344"/>
    <w:rsid w:val="00B63E35"/>
    <w:rsid w:val="00B64074"/>
    <w:rsid w:val="00B64084"/>
    <w:rsid w:val="00B643DF"/>
    <w:rsid w:val="00B64F15"/>
    <w:rsid w:val="00B64F79"/>
    <w:rsid w:val="00B65BA6"/>
    <w:rsid w:val="00B65F81"/>
    <w:rsid w:val="00B669E7"/>
    <w:rsid w:val="00B711A6"/>
    <w:rsid w:val="00B71F28"/>
    <w:rsid w:val="00B72381"/>
    <w:rsid w:val="00B738AA"/>
    <w:rsid w:val="00B74029"/>
    <w:rsid w:val="00B74DA1"/>
    <w:rsid w:val="00B7719A"/>
    <w:rsid w:val="00B800DB"/>
    <w:rsid w:val="00B8061D"/>
    <w:rsid w:val="00B8103F"/>
    <w:rsid w:val="00B82804"/>
    <w:rsid w:val="00B8338C"/>
    <w:rsid w:val="00B84D0A"/>
    <w:rsid w:val="00B8506D"/>
    <w:rsid w:val="00B85CB8"/>
    <w:rsid w:val="00B869CF"/>
    <w:rsid w:val="00B86A7A"/>
    <w:rsid w:val="00B909D7"/>
    <w:rsid w:val="00B90B92"/>
    <w:rsid w:val="00B9111F"/>
    <w:rsid w:val="00B94088"/>
    <w:rsid w:val="00B9450E"/>
    <w:rsid w:val="00B95447"/>
    <w:rsid w:val="00B9544B"/>
    <w:rsid w:val="00B96326"/>
    <w:rsid w:val="00B9650B"/>
    <w:rsid w:val="00B96FB5"/>
    <w:rsid w:val="00BA0219"/>
    <w:rsid w:val="00BA029A"/>
    <w:rsid w:val="00BA1EAC"/>
    <w:rsid w:val="00BA24F1"/>
    <w:rsid w:val="00BA2CFF"/>
    <w:rsid w:val="00BA448D"/>
    <w:rsid w:val="00BA48C1"/>
    <w:rsid w:val="00BA58A5"/>
    <w:rsid w:val="00BA6715"/>
    <w:rsid w:val="00BA7202"/>
    <w:rsid w:val="00BA7977"/>
    <w:rsid w:val="00BA7F59"/>
    <w:rsid w:val="00BB23B7"/>
    <w:rsid w:val="00BB26EF"/>
    <w:rsid w:val="00BB307F"/>
    <w:rsid w:val="00BB5011"/>
    <w:rsid w:val="00BB631E"/>
    <w:rsid w:val="00BB6A16"/>
    <w:rsid w:val="00BB735A"/>
    <w:rsid w:val="00BC0101"/>
    <w:rsid w:val="00BC3467"/>
    <w:rsid w:val="00BC347C"/>
    <w:rsid w:val="00BC457B"/>
    <w:rsid w:val="00BC4EE5"/>
    <w:rsid w:val="00BC6476"/>
    <w:rsid w:val="00BC6BF9"/>
    <w:rsid w:val="00BC7318"/>
    <w:rsid w:val="00BC765D"/>
    <w:rsid w:val="00BD0BE1"/>
    <w:rsid w:val="00BD0CC2"/>
    <w:rsid w:val="00BD0D77"/>
    <w:rsid w:val="00BD2628"/>
    <w:rsid w:val="00BD2915"/>
    <w:rsid w:val="00BD301A"/>
    <w:rsid w:val="00BD320E"/>
    <w:rsid w:val="00BD331E"/>
    <w:rsid w:val="00BD447F"/>
    <w:rsid w:val="00BD4663"/>
    <w:rsid w:val="00BD492D"/>
    <w:rsid w:val="00BD4B7C"/>
    <w:rsid w:val="00BD54EE"/>
    <w:rsid w:val="00BD5913"/>
    <w:rsid w:val="00BD5ED4"/>
    <w:rsid w:val="00BD7140"/>
    <w:rsid w:val="00BD776D"/>
    <w:rsid w:val="00BE01E5"/>
    <w:rsid w:val="00BE0A51"/>
    <w:rsid w:val="00BE2622"/>
    <w:rsid w:val="00BE2BED"/>
    <w:rsid w:val="00BE2E96"/>
    <w:rsid w:val="00BE4BB8"/>
    <w:rsid w:val="00BE5727"/>
    <w:rsid w:val="00BE613C"/>
    <w:rsid w:val="00BE6E97"/>
    <w:rsid w:val="00BE7106"/>
    <w:rsid w:val="00BE7BB4"/>
    <w:rsid w:val="00BF0632"/>
    <w:rsid w:val="00BF1BFF"/>
    <w:rsid w:val="00BF1F79"/>
    <w:rsid w:val="00BF25EC"/>
    <w:rsid w:val="00BF5837"/>
    <w:rsid w:val="00BF5D52"/>
    <w:rsid w:val="00BF689D"/>
    <w:rsid w:val="00C005C1"/>
    <w:rsid w:val="00C00785"/>
    <w:rsid w:val="00C01ADC"/>
    <w:rsid w:val="00C033FF"/>
    <w:rsid w:val="00C03507"/>
    <w:rsid w:val="00C03BD7"/>
    <w:rsid w:val="00C047E3"/>
    <w:rsid w:val="00C048DF"/>
    <w:rsid w:val="00C048F5"/>
    <w:rsid w:val="00C06BD6"/>
    <w:rsid w:val="00C0766E"/>
    <w:rsid w:val="00C1012D"/>
    <w:rsid w:val="00C10E31"/>
    <w:rsid w:val="00C114F8"/>
    <w:rsid w:val="00C1193B"/>
    <w:rsid w:val="00C11F6A"/>
    <w:rsid w:val="00C12889"/>
    <w:rsid w:val="00C137C6"/>
    <w:rsid w:val="00C1461D"/>
    <w:rsid w:val="00C14E47"/>
    <w:rsid w:val="00C16DD0"/>
    <w:rsid w:val="00C178C0"/>
    <w:rsid w:val="00C204C3"/>
    <w:rsid w:val="00C22378"/>
    <w:rsid w:val="00C22636"/>
    <w:rsid w:val="00C2289E"/>
    <w:rsid w:val="00C23256"/>
    <w:rsid w:val="00C2335E"/>
    <w:rsid w:val="00C23886"/>
    <w:rsid w:val="00C25584"/>
    <w:rsid w:val="00C262C4"/>
    <w:rsid w:val="00C26E81"/>
    <w:rsid w:val="00C2738B"/>
    <w:rsid w:val="00C305D3"/>
    <w:rsid w:val="00C308D3"/>
    <w:rsid w:val="00C308E5"/>
    <w:rsid w:val="00C30B51"/>
    <w:rsid w:val="00C31267"/>
    <w:rsid w:val="00C32BC5"/>
    <w:rsid w:val="00C34507"/>
    <w:rsid w:val="00C345C0"/>
    <w:rsid w:val="00C35095"/>
    <w:rsid w:val="00C35C78"/>
    <w:rsid w:val="00C35E7F"/>
    <w:rsid w:val="00C3664F"/>
    <w:rsid w:val="00C40AFB"/>
    <w:rsid w:val="00C41066"/>
    <w:rsid w:val="00C41BEE"/>
    <w:rsid w:val="00C43F0F"/>
    <w:rsid w:val="00C4507C"/>
    <w:rsid w:val="00C45578"/>
    <w:rsid w:val="00C457BA"/>
    <w:rsid w:val="00C504C4"/>
    <w:rsid w:val="00C51344"/>
    <w:rsid w:val="00C5149C"/>
    <w:rsid w:val="00C52055"/>
    <w:rsid w:val="00C521B6"/>
    <w:rsid w:val="00C52F5E"/>
    <w:rsid w:val="00C53D50"/>
    <w:rsid w:val="00C54FAF"/>
    <w:rsid w:val="00C558B9"/>
    <w:rsid w:val="00C57960"/>
    <w:rsid w:val="00C60B4E"/>
    <w:rsid w:val="00C61BD2"/>
    <w:rsid w:val="00C61E1F"/>
    <w:rsid w:val="00C62E57"/>
    <w:rsid w:val="00C63B8C"/>
    <w:rsid w:val="00C66BDE"/>
    <w:rsid w:val="00C72190"/>
    <w:rsid w:val="00C72A81"/>
    <w:rsid w:val="00C72E25"/>
    <w:rsid w:val="00C73AD1"/>
    <w:rsid w:val="00C73E2F"/>
    <w:rsid w:val="00C741D1"/>
    <w:rsid w:val="00C7547B"/>
    <w:rsid w:val="00C758F9"/>
    <w:rsid w:val="00C75EFE"/>
    <w:rsid w:val="00C77DE1"/>
    <w:rsid w:val="00C77EF4"/>
    <w:rsid w:val="00C800D1"/>
    <w:rsid w:val="00C806C7"/>
    <w:rsid w:val="00C80DF4"/>
    <w:rsid w:val="00C8129B"/>
    <w:rsid w:val="00C826D3"/>
    <w:rsid w:val="00C82B1C"/>
    <w:rsid w:val="00C837AE"/>
    <w:rsid w:val="00C8384C"/>
    <w:rsid w:val="00C83A81"/>
    <w:rsid w:val="00C848B6"/>
    <w:rsid w:val="00C84EBE"/>
    <w:rsid w:val="00C85AF6"/>
    <w:rsid w:val="00C91119"/>
    <w:rsid w:val="00C92373"/>
    <w:rsid w:val="00C9352A"/>
    <w:rsid w:val="00C94A7D"/>
    <w:rsid w:val="00C95AC9"/>
    <w:rsid w:val="00C95EFE"/>
    <w:rsid w:val="00C960FC"/>
    <w:rsid w:val="00C96619"/>
    <w:rsid w:val="00C976E5"/>
    <w:rsid w:val="00CA0E77"/>
    <w:rsid w:val="00CA181F"/>
    <w:rsid w:val="00CA238E"/>
    <w:rsid w:val="00CA38A4"/>
    <w:rsid w:val="00CA3F78"/>
    <w:rsid w:val="00CA4415"/>
    <w:rsid w:val="00CA59BE"/>
    <w:rsid w:val="00CA6347"/>
    <w:rsid w:val="00CA6FAB"/>
    <w:rsid w:val="00CB0FE8"/>
    <w:rsid w:val="00CB183B"/>
    <w:rsid w:val="00CB1F27"/>
    <w:rsid w:val="00CB249B"/>
    <w:rsid w:val="00CB2C18"/>
    <w:rsid w:val="00CB2C4F"/>
    <w:rsid w:val="00CB2DF8"/>
    <w:rsid w:val="00CB3D97"/>
    <w:rsid w:val="00CB55EE"/>
    <w:rsid w:val="00CB57A1"/>
    <w:rsid w:val="00CB5FD7"/>
    <w:rsid w:val="00CB63BE"/>
    <w:rsid w:val="00CB6464"/>
    <w:rsid w:val="00CB6A8A"/>
    <w:rsid w:val="00CB6DF3"/>
    <w:rsid w:val="00CB71E8"/>
    <w:rsid w:val="00CC00E5"/>
    <w:rsid w:val="00CC05BC"/>
    <w:rsid w:val="00CC0EFB"/>
    <w:rsid w:val="00CC152E"/>
    <w:rsid w:val="00CC1873"/>
    <w:rsid w:val="00CC256B"/>
    <w:rsid w:val="00CC29C7"/>
    <w:rsid w:val="00CC3291"/>
    <w:rsid w:val="00CC33EB"/>
    <w:rsid w:val="00CC4D7A"/>
    <w:rsid w:val="00CC5A15"/>
    <w:rsid w:val="00CC6A50"/>
    <w:rsid w:val="00CD02B4"/>
    <w:rsid w:val="00CD0BDA"/>
    <w:rsid w:val="00CD0D02"/>
    <w:rsid w:val="00CD1378"/>
    <w:rsid w:val="00CD2A3C"/>
    <w:rsid w:val="00CD3461"/>
    <w:rsid w:val="00CD3B66"/>
    <w:rsid w:val="00CD4ADC"/>
    <w:rsid w:val="00CD5E4D"/>
    <w:rsid w:val="00CE067E"/>
    <w:rsid w:val="00CE3AA9"/>
    <w:rsid w:val="00CE40CA"/>
    <w:rsid w:val="00CE5A7E"/>
    <w:rsid w:val="00CE71D1"/>
    <w:rsid w:val="00CE72B8"/>
    <w:rsid w:val="00CE79BC"/>
    <w:rsid w:val="00CE7A75"/>
    <w:rsid w:val="00CE7C90"/>
    <w:rsid w:val="00CE7D2A"/>
    <w:rsid w:val="00CE7EE8"/>
    <w:rsid w:val="00CF09F0"/>
    <w:rsid w:val="00CF0C92"/>
    <w:rsid w:val="00CF2B46"/>
    <w:rsid w:val="00CF3A58"/>
    <w:rsid w:val="00CF3DEE"/>
    <w:rsid w:val="00CF4338"/>
    <w:rsid w:val="00CF4D79"/>
    <w:rsid w:val="00CF566F"/>
    <w:rsid w:val="00CF57FF"/>
    <w:rsid w:val="00CF60D8"/>
    <w:rsid w:val="00CF688D"/>
    <w:rsid w:val="00CF6FE5"/>
    <w:rsid w:val="00CF73F3"/>
    <w:rsid w:val="00CF77B1"/>
    <w:rsid w:val="00CF7F68"/>
    <w:rsid w:val="00CF7FC1"/>
    <w:rsid w:val="00D00032"/>
    <w:rsid w:val="00D00441"/>
    <w:rsid w:val="00D00DBF"/>
    <w:rsid w:val="00D019DC"/>
    <w:rsid w:val="00D03257"/>
    <w:rsid w:val="00D03A34"/>
    <w:rsid w:val="00D05ADB"/>
    <w:rsid w:val="00D06AB4"/>
    <w:rsid w:val="00D06E06"/>
    <w:rsid w:val="00D07806"/>
    <w:rsid w:val="00D07D86"/>
    <w:rsid w:val="00D101E1"/>
    <w:rsid w:val="00D10228"/>
    <w:rsid w:val="00D10401"/>
    <w:rsid w:val="00D118DC"/>
    <w:rsid w:val="00D14E17"/>
    <w:rsid w:val="00D16B25"/>
    <w:rsid w:val="00D16BC4"/>
    <w:rsid w:val="00D16FB3"/>
    <w:rsid w:val="00D17F3C"/>
    <w:rsid w:val="00D2076A"/>
    <w:rsid w:val="00D20E13"/>
    <w:rsid w:val="00D21C13"/>
    <w:rsid w:val="00D22E6D"/>
    <w:rsid w:val="00D22F02"/>
    <w:rsid w:val="00D2347D"/>
    <w:rsid w:val="00D2522C"/>
    <w:rsid w:val="00D256CB"/>
    <w:rsid w:val="00D25BB9"/>
    <w:rsid w:val="00D26B85"/>
    <w:rsid w:val="00D30F9E"/>
    <w:rsid w:val="00D31119"/>
    <w:rsid w:val="00D31522"/>
    <w:rsid w:val="00D31703"/>
    <w:rsid w:val="00D3219C"/>
    <w:rsid w:val="00D32897"/>
    <w:rsid w:val="00D32ACD"/>
    <w:rsid w:val="00D34F02"/>
    <w:rsid w:val="00D35D21"/>
    <w:rsid w:val="00D36D32"/>
    <w:rsid w:val="00D36FD9"/>
    <w:rsid w:val="00D37C33"/>
    <w:rsid w:val="00D37C5D"/>
    <w:rsid w:val="00D408DD"/>
    <w:rsid w:val="00D45000"/>
    <w:rsid w:val="00D46080"/>
    <w:rsid w:val="00D46392"/>
    <w:rsid w:val="00D47997"/>
    <w:rsid w:val="00D50B6A"/>
    <w:rsid w:val="00D510F7"/>
    <w:rsid w:val="00D51E7D"/>
    <w:rsid w:val="00D52561"/>
    <w:rsid w:val="00D5345B"/>
    <w:rsid w:val="00D543C0"/>
    <w:rsid w:val="00D5691A"/>
    <w:rsid w:val="00D57366"/>
    <w:rsid w:val="00D5779A"/>
    <w:rsid w:val="00D57A9F"/>
    <w:rsid w:val="00D57E13"/>
    <w:rsid w:val="00D601B4"/>
    <w:rsid w:val="00D6028D"/>
    <w:rsid w:val="00D616C7"/>
    <w:rsid w:val="00D6585D"/>
    <w:rsid w:val="00D65A88"/>
    <w:rsid w:val="00D65AC2"/>
    <w:rsid w:val="00D65D5D"/>
    <w:rsid w:val="00D70219"/>
    <w:rsid w:val="00D705CF"/>
    <w:rsid w:val="00D7333C"/>
    <w:rsid w:val="00D74129"/>
    <w:rsid w:val="00D74D8B"/>
    <w:rsid w:val="00D764F3"/>
    <w:rsid w:val="00D7683B"/>
    <w:rsid w:val="00D77A56"/>
    <w:rsid w:val="00D80FF5"/>
    <w:rsid w:val="00D81031"/>
    <w:rsid w:val="00D81590"/>
    <w:rsid w:val="00D81835"/>
    <w:rsid w:val="00D8277D"/>
    <w:rsid w:val="00D834F7"/>
    <w:rsid w:val="00D841E6"/>
    <w:rsid w:val="00D84EE8"/>
    <w:rsid w:val="00D86A83"/>
    <w:rsid w:val="00D9054E"/>
    <w:rsid w:val="00D90FEA"/>
    <w:rsid w:val="00D9140E"/>
    <w:rsid w:val="00D91F34"/>
    <w:rsid w:val="00D92C1E"/>
    <w:rsid w:val="00D96281"/>
    <w:rsid w:val="00D97D66"/>
    <w:rsid w:val="00DA08F9"/>
    <w:rsid w:val="00DA0A79"/>
    <w:rsid w:val="00DA2D1A"/>
    <w:rsid w:val="00DA3167"/>
    <w:rsid w:val="00DA4CA9"/>
    <w:rsid w:val="00DA4FA1"/>
    <w:rsid w:val="00DA53B7"/>
    <w:rsid w:val="00DA5A65"/>
    <w:rsid w:val="00DA5FFC"/>
    <w:rsid w:val="00DA7199"/>
    <w:rsid w:val="00DA7306"/>
    <w:rsid w:val="00DA7764"/>
    <w:rsid w:val="00DB0D49"/>
    <w:rsid w:val="00DB1A93"/>
    <w:rsid w:val="00DB1E5C"/>
    <w:rsid w:val="00DB2451"/>
    <w:rsid w:val="00DB2D10"/>
    <w:rsid w:val="00DB2D89"/>
    <w:rsid w:val="00DB40A9"/>
    <w:rsid w:val="00DB5E45"/>
    <w:rsid w:val="00DB7F12"/>
    <w:rsid w:val="00DC3A41"/>
    <w:rsid w:val="00DC3B59"/>
    <w:rsid w:val="00DC4302"/>
    <w:rsid w:val="00DC4A7F"/>
    <w:rsid w:val="00DC5D09"/>
    <w:rsid w:val="00DD012F"/>
    <w:rsid w:val="00DD0C03"/>
    <w:rsid w:val="00DD1D65"/>
    <w:rsid w:val="00DD231D"/>
    <w:rsid w:val="00DD23EF"/>
    <w:rsid w:val="00DD2B12"/>
    <w:rsid w:val="00DD3349"/>
    <w:rsid w:val="00DD3901"/>
    <w:rsid w:val="00DD419E"/>
    <w:rsid w:val="00DD42B7"/>
    <w:rsid w:val="00DD44AC"/>
    <w:rsid w:val="00DD48AD"/>
    <w:rsid w:val="00DD500B"/>
    <w:rsid w:val="00DD5658"/>
    <w:rsid w:val="00DD6863"/>
    <w:rsid w:val="00DD75A9"/>
    <w:rsid w:val="00DE007C"/>
    <w:rsid w:val="00DE1DBE"/>
    <w:rsid w:val="00DE1E04"/>
    <w:rsid w:val="00DE2850"/>
    <w:rsid w:val="00DE3206"/>
    <w:rsid w:val="00DE3442"/>
    <w:rsid w:val="00DE38C9"/>
    <w:rsid w:val="00DE40D4"/>
    <w:rsid w:val="00DE47E7"/>
    <w:rsid w:val="00DE542C"/>
    <w:rsid w:val="00DE5922"/>
    <w:rsid w:val="00DE67C8"/>
    <w:rsid w:val="00DE7DCC"/>
    <w:rsid w:val="00DF07AC"/>
    <w:rsid w:val="00DF1006"/>
    <w:rsid w:val="00DF1555"/>
    <w:rsid w:val="00DF1B9E"/>
    <w:rsid w:val="00DF1DD8"/>
    <w:rsid w:val="00DF3151"/>
    <w:rsid w:val="00DF41B3"/>
    <w:rsid w:val="00DF42AF"/>
    <w:rsid w:val="00DF6DF9"/>
    <w:rsid w:val="00DF7130"/>
    <w:rsid w:val="00E00AFB"/>
    <w:rsid w:val="00E01094"/>
    <w:rsid w:val="00E015EA"/>
    <w:rsid w:val="00E01F8E"/>
    <w:rsid w:val="00E024B4"/>
    <w:rsid w:val="00E02E48"/>
    <w:rsid w:val="00E03F8F"/>
    <w:rsid w:val="00E04752"/>
    <w:rsid w:val="00E04830"/>
    <w:rsid w:val="00E04CCC"/>
    <w:rsid w:val="00E04FFD"/>
    <w:rsid w:val="00E0582B"/>
    <w:rsid w:val="00E107F5"/>
    <w:rsid w:val="00E10CE8"/>
    <w:rsid w:val="00E126FC"/>
    <w:rsid w:val="00E12E16"/>
    <w:rsid w:val="00E13D6A"/>
    <w:rsid w:val="00E1501F"/>
    <w:rsid w:val="00E15B49"/>
    <w:rsid w:val="00E15D27"/>
    <w:rsid w:val="00E16855"/>
    <w:rsid w:val="00E16D75"/>
    <w:rsid w:val="00E204C5"/>
    <w:rsid w:val="00E2083D"/>
    <w:rsid w:val="00E20A84"/>
    <w:rsid w:val="00E21221"/>
    <w:rsid w:val="00E219F4"/>
    <w:rsid w:val="00E21D46"/>
    <w:rsid w:val="00E22947"/>
    <w:rsid w:val="00E22CD4"/>
    <w:rsid w:val="00E22E8B"/>
    <w:rsid w:val="00E233CD"/>
    <w:rsid w:val="00E253E5"/>
    <w:rsid w:val="00E258B0"/>
    <w:rsid w:val="00E262A1"/>
    <w:rsid w:val="00E26A46"/>
    <w:rsid w:val="00E30602"/>
    <w:rsid w:val="00E30961"/>
    <w:rsid w:val="00E31927"/>
    <w:rsid w:val="00E323DD"/>
    <w:rsid w:val="00E3463F"/>
    <w:rsid w:val="00E34D7F"/>
    <w:rsid w:val="00E353DA"/>
    <w:rsid w:val="00E35826"/>
    <w:rsid w:val="00E35C49"/>
    <w:rsid w:val="00E36637"/>
    <w:rsid w:val="00E4090F"/>
    <w:rsid w:val="00E420B1"/>
    <w:rsid w:val="00E4345A"/>
    <w:rsid w:val="00E43B61"/>
    <w:rsid w:val="00E44436"/>
    <w:rsid w:val="00E4552C"/>
    <w:rsid w:val="00E4649E"/>
    <w:rsid w:val="00E4680D"/>
    <w:rsid w:val="00E46ECF"/>
    <w:rsid w:val="00E50E47"/>
    <w:rsid w:val="00E50F3D"/>
    <w:rsid w:val="00E516F4"/>
    <w:rsid w:val="00E5184F"/>
    <w:rsid w:val="00E52152"/>
    <w:rsid w:val="00E53312"/>
    <w:rsid w:val="00E540CE"/>
    <w:rsid w:val="00E544FD"/>
    <w:rsid w:val="00E547E2"/>
    <w:rsid w:val="00E56ABF"/>
    <w:rsid w:val="00E5713C"/>
    <w:rsid w:val="00E5723D"/>
    <w:rsid w:val="00E572F8"/>
    <w:rsid w:val="00E5785E"/>
    <w:rsid w:val="00E60295"/>
    <w:rsid w:val="00E61604"/>
    <w:rsid w:val="00E62334"/>
    <w:rsid w:val="00E636B6"/>
    <w:rsid w:val="00E64DC9"/>
    <w:rsid w:val="00E654CE"/>
    <w:rsid w:val="00E658C7"/>
    <w:rsid w:val="00E65F80"/>
    <w:rsid w:val="00E664C0"/>
    <w:rsid w:val="00E6704F"/>
    <w:rsid w:val="00E67DD1"/>
    <w:rsid w:val="00E67E6F"/>
    <w:rsid w:val="00E708FB"/>
    <w:rsid w:val="00E71988"/>
    <w:rsid w:val="00E72E78"/>
    <w:rsid w:val="00E73048"/>
    <w:rsid w:val="00E7349E"/>
    <w:rsid w:val="00E752B4"/>
    <w:rsid w:val="00E7792A"/>
    <w:rsid w:val="00E81BF2"/>
    <w:rsid w:val="00E831A7"/>
    <w:rsid w:val="00E86BFC"/>
    <w:rsid w:val="00E94237"/>
    <w:rsid w:val="00E94E66"/>
    <w:rsid w:val="00E9541E"/>
    <w:rsid w:val="00EA1730"/>
    <w:rsid w:val="00EA1A45"/>
    <w:rsid w:val="00EA2129"/>
    <w:rsid w:val="00EA2786"/>
    <w:rsid w:val="00EA39FF"/>
    <w:rsid w:val="00EA3C0E"/>
    <w:rsid w:val="00EA4161"/>
    <w:rsid w:val="00EA428F"/>
    <w:rsid w:val="00EA452E"/>
    <w:rsid w:val="00EA4994"/>
    <w:rsid w:val="00EA5DAF"/>
    <w:rsid w:val="00EA67A8"/>
    <w:rsid w:val="00EA7513"/>
    <w:rsid w:val="00EB037C"/>
    <w:rsid w:val="00EB0479"/>
    <w:rsid w:val="00EB0A9B"/>
    <w:rsid w:val="00EB419D"/>
    <w:rsid w:val="00EB4B98"/>
    <w:rsid w:val="00EB506F"/>
    <w:rsid w:val="00EB56E4"/>
    <w:rsid w:val="00EB5A30"/>
    <w:rsid w:val="00EB5A94"/>
    <w:rsid w:val="00EB7A2C"/>
    <w:rsid w:val="00EC23A2"/>
    <w:rsid w:val="00EC3CA5"/>
    <w:rsid w:val="00EC4673"/>
    <w:rsid w:val="00EC63D9"/>
    <w:rsid w:val="00EC70B3"/>
    <w:rsid w:val="00EC73DE"/>
    <w:rsid w:val="00EC760F"/>
    <w:rsid w:val="00EC7A51"/>
    <w:rsid w:val="00ED0925"/>
    <w:rsid w:val="00ED4717"/>
    <w:rsid w:val="00ED4C09"/>
    <w:rsid w:val="00ED50AD"/>
    <w:rsid w:val="00ED582C"/>
    <w:rsid w:val="00ED621F"/>
    <w:rsid w:val="00EE008E"/>
    <w:rsid w:val="00EE1584"/>
    <w:rsid w:val="00EE1970"/>
    <w:rsid w:val="00EE241C"/>
    <w:rsid w:val="00EE2DD7"/>
    <w:rsid w:val="00EE30AD"/>
    <w:rsid w:val="00EE44FD"/>
    <w:rsid w:val="00EE48B4"/>
    <w:rsid w:val="00EF058D"/>
    <w:rsid w:val="00EF0CA1"/>
    <w:rsid w:val="00EF1E1E"/>
    <w:rsid w:val="00EF223E"/>
    <w:rsid w:val="00EF248D"/>
    <w:rsid w:val="00EF3130"/>
    <w:rsid w:val="00EF35E9"/>
    <w:rsid w:val="00EF3C72"/>
    <w:rsid w:val="00EF3E3D"/>
    <w:rsid w:val="00EF3EB2"/>
    <w:rsid w:val="00EF4024"/>
    <w:rsid w:val="00EF45BA"/>
    <w:rsid w:val="00EF5BEF"/>
    <w:rsid w:val="00EF5D68"/>
    <w:rsid w:val="00EF6B3E"/>
    <w:rsid w:val="00EF6EC0"/>
    <w:rsid w:val="00EF703C"/>
    <w:rsid w:val="00EF7260"/>
    <w:rsid w:val="00EF7C89"/>
    <w:rsid w:val="00F004AA"/>
    <w:rsid w:val="00F0117D"/>
    <w:rsid w:val="00F01A82"/>
    <w:rsid w:val="00F026F8"/>
    <w:rsid w:val="00F02ACF"/>
    <w:rsid w:val="00F032AD"/>
    <w:rsid w:val="00F03B90"/>
    <w:rsid w:val="00F04CFC"/>
    <w:rsid w:val="00F054A2"/>
    <w:rsid w:val="00F05739"/>
    <w:rsid w:val="00F05EA3"/>
    <w:rsid w:val="00F06DB7"/>
    <w:rsid w:val="00F072E6"/>
    <w:rsid w:val="00F077F5"/>
    <w:rsid w:val="00F078CF"/>
    <w:rsid w:val="00F10422"/>
    <w:rsid w:val="00F10664"/>
    <w:rsid w:val="00F12620"/>
    <w:rsid w:val="00F12693"/>
    <w:rsid w:val="00F140BA"/>
    <w:rsid w:val="00F1538B"/>
    <w:rsid w:val="00F15605"/>
    <w:rsid w:val="00F16305"/>
    <w:rsid w:val="00F1739E"/>
    <w:rsid w:val="00F17CC6"/>
    <w:rsid w:val="00F20821"/>
    <w:rsid w:val="00F21F30"/>
    <w:rsid w:val="00F23933"/>
    <w:rsid w:val="00F23941"/>
    <w:rsid w:val="00F24097"/>
    <w:rsid w:val="00F2465F"/>
    <w:rsid w:val="00F24E28"/>
    <w:rsid w:val="00F2556C"/>
    <w:rsid w:val="00F258CD"/>
    <w:rsid w:val="00F265F6"/>
    <w:rsid w:val="00F26B23"/>
    <w:rsid w:val="00F27825"/>
    <w:rsid w:val="00F304C8"/>
    <w:rsid w:val="00F3081F"/>
    <w:rsid w:val="00F30B1E"/>
    <w:rsid w:val="00F3174C"/>
    <w:rsid w:val="00F32401"/>
    <w:rsid w:val="00F3269A"/>
    <w:rsid w:val="00F329EB"/>
    <w:rsid w:val="00F33E70"/>
    <w:rsid w:val="00F33F02"/>
    <w:rsid w:val="00F35561"/>
    <w:rsid w:val="00F36051"/>
    <w:rsid w:val="00F3725B"/>
    <w:rsid w:val="00F40D5B"/>
    <w:rsid w:val="00F4133B"/>
    <w:rsid w:val="00F41A53"/>
    <w:rsid w:val="00F4249B"/>
    <w:rsid w:val="00F42515"/>
    <w:rsid w:val="00F43307"/>
    <w:rsid w:val="00F44087"/>
    <w:rsid w:val="00F44729"/>
    <w:rsid w:val="00F447AC"/>
    <w:rsid w:val="00F44BB4"/>
    <w:rsid w:val="00F44F34"/>
    <w:rsid w:val="00F45092"/>
    <w:rsid w:val="00F452BC"/>
    <w:rsid w:val="00F46A0A"/>
    <w:rsid w:val="00F46B65"/>
    <w:rsid w:val="00F501D3"/>
    <w:rsid w:val="00F508CE"/>
    <w:rsid w:val="00F540DD"/>
    <w:rsid w:val="00F54A33"/>
    <w:rsid w:val="00F54AD9"/>
    <w:rsid w:val="00F553A0"/>
    <w:rsid w:val="00F55979"/>
    <w:rsid w:val="00F55AE7"/>
    <w:rsid w:val="00F569EE"/>
    <w:rsid w:val="00F61CD6"/>
    <w:rsid w:val="00F61E20"/>
    <w:rsid w:val="00F63AD3"/>
    <w:rsid w:val="00F63B88"/>
    <w:rsid w:val="00F63F0E"/>
    <w:rsid w:val="00F659B8"/>
    <w:rsid w:val="00F65A3B"/>
    <w:rsid w:val="00F67233"/>
    <w:rsid w:val="00F675D5"/>
    <w:rsid w:val="00F678CB"/>
    <w:rsid w:val="00F67E91"/>
    <w:rsid w:val="00F70339"/>
    <w:rsid w:val="00F71100"/>
    <w:rsid w:val="00F72495"/>
    <w:rsid w:val="00F726E1"/>
    <w:rsid w:val="00F73593"/>
    <w:rsid w:val="00F74081"/>
    <w:rsid w:val="00F74B38"/>
    <w:rsid w:val="00F74B5E"/>
    <w:rsid w:val="00F7711C"/>
    <w:rsid w:val="00F80787"/>
    <w:rsid w:val="00F83CFE"/>
    <w:rsid w:val="00F849F8"/>
    <w:rsid w:val="00F84DB4"/>
    <w:rsid w:val="00F851C8"/>
    <w:rsid w:val="00F85311"/>
    <w:rsid w:val="00F859A0"/>
    <w:rsid w:val="00F85AD4"/>
    <w:rsid w:val="00F8769C"/>
    <w:rsid w:val="00F87B82"/>
    <w:rsid w:val="00F90D7C"/>
    <w:rsid w:val="00F91AD2"/>
    <w:rsid w:val="00F924F5"/>
    <w:rsid w:val="00F93C29"/>
    <w:rsid w:val="00F93EAC"/>
    <w:rsid w:val="00F949CC"/>
    <w:rsid w:val="00F95213"/>
    <w:rsid w:val="00F953DD"/>
    <w:rsid w:val="00F953FE"/>
    <w:rsid w:val="00F9566B"/>
    <w:rsid w:val="00FA05FC"/>
    <w:rsid w:val="00FA0759"/>
    <w:rsid w:val="00FA0F13"/>
    <w:rsid w:val="00FA151E"/>
    <w:rsid w:val="00FA1EFF"/>
    <w:rsid w:val="00FA1F83"/>
    <w:rsid w:val="00FA3BE0"/>
    <w:rsid w:val="00FA3F1D"/>
    <w:rsid w:val="00FA6B4B"/>
    <w:rsid w:val="00FA75D1"/>
    <w:rsid w:val="00FB0233"/>
    <w:rsid w:val="00FB0622"/>
    <w:rsid w:val="00FB24CF"/>
    <w:rsid w:val="00FB2D37"/>
    <w:rsid w:val="00FB3722"/>
    <w:rsid w:val="00FB543A"/>
    <w:rsid w:val="00FB56D6"/>
    <w:rsid w:val="00FB5B66"/>
    <w:rsid w:val="00FC1C09"/>
    <w:rsid w:val="00FC1E92"/>
    <w:rsid w:val="00FC2A00"/>
    <w:rsid w:val="00FC2AA1"/>
    <w:rsid w:val="00FC2B0F"/>
    <w:rsid w:val="00FC45AA"/>
    <w:rsid w:val="00FC45F7"/>
    <w:rsid w:val="00FC66CB"/>
    <w:rsid w:val="00FC72D5"/>
    <w:rsid w:val="00FD0E6A"/>
    <w:rsid w:val="00FD1952"/>
    <w:rsid w:val="00FD1FC3"/>
    <w:rsid w:val="00FD2500"/>
    <w:rsid w:val="00FD2695"/>
    <w:rsid w:val="00FD3109"/>
    <w:rsid w:val="00FD3C1C"/>
    <w:rsid w:val="00FD5AE5"/>
    <w:rsid w:val="00FD5F96"/>
    <w:rsid w:val="00FD6D81"/>
    <w:rsid w:val="00FD6E68"/>
    <w:rsid w:val="00FD727B"/>
    <w:rsid w:val="00FD797B"/>
    <w:rsid w:val="00FE010C"/>
    <w:rsid w:val="00FE24A1"/>
    <w:rsid w:val="00FE29DF"/>
    <w:rsid w:val="00FE38F6"/>
    <w:rsid w:val="00FE5B91"/>
    <w:rsid w:val="00FE694A"/>
    <w:rsid w:val="00FE6B7A"/>
    <w:rsid w:val="00FE6EB4"/>
    <w:rsid w:val="00FE7FB8"/>
    <w:rsid w:val="00FF1358"/>
    <w:rsid w:val="00FF458D"/>
    <w:rsid w:val="00FF4EEB"/>
    <w:rsid w:val="00FF593D"/>
    <w:rsid w:val="00FF7027"/>
    <w:rsid w:val="00FF7476"/>
    <w:rsid w:val="012DC21F"/>
    <w:rsid w:val="013C19D7"/>
    <w:rsid w:val="0165381B"/>
    <w:rsid w:val="01CCC252"/>
    <w:rsid w:val="01FB8EE5"/>
    <w:rsid w:val="02068FDD"/>
    <w:rsid w:val="0231AEE2"/>
    <w:rsid w:val="02C96D05"/>
    <w:rsid w:val="036292B6"/>
    <w:rsid w:val="037465F6"/>
    <w:rsid w:val="03AC33E5"/>
    <w:rsid w:val="03D21BB0"/>
    <w:rsid w:val="045D3C95"/>
    <w:rsid w:val="04D83082"/>
    <w:rsid w:val="04F7E611"/>
    <w:rsid w:val="055E6EB0"/>
    <w:rsid w:val="056B4989"/>
    <w:rsid w:val="059398C5"/>
    <w:rsid w:val="05C9C133"/>
    <w:rsid w:val="05DE6D19"/>
    <w:rsid w:val="0653D8AE"/>
    <w:rsid w:val="0770B247"/>
    <w:rsid w:val="07831BCC"/>
    <w:rsid w:val="07AB84DD"/>
    <w:rsid w:val="07D0C63A"/>
    <w:rsid w:val="08014A8B"/>
    <w:rsid w:val="0885FF56"/>
    <w:rsid w:val="08968124"/>
    <w:rsid w:val="091A2DAC"/>
    <w:rsid w:val="0938591F"/>
    <w:rsid w:val="095425C5"/>
    <w:rsid w:val="09B4A5D7"/>
    <w:rsid w:val="09F71683"/>
    <w:rsid w:val="0A08D4D8"/>
    <w:rsid w:val="0A5D994F"/>
    <w:rsid w:val="0A712DBB"/>
    <w:rsid w:val="0AA2A059"/>
    <w:rsid w:val="0AF67498"/>
    <w:rsid w:val="0B16515D"/>
    <w:rsid w:val="0B4DDD1C"/>
    <w:rsid w:val="0BA550CF"/>
    <w:rsid w:val="0BB372E9"/>
    <w:rsid w:val="0BD2FAE4"/>
    <w:rsid w:val="0C18F45D"/>
    <w:rsid w:val="0C2A45D2"/>
    <w:rsid w:val="0C58E136"/>
    <w:rsid w:val="0C73A42D"/>
    <w:rsid w:val="0CAC2EC8"/>
    <w:rsid w:val="0D12DFBC"/>
    <w:rsid w:val="0DC5A20D"/>
    <w:rsid w:val="0DDAAA50"/>
    <w:rsid w:val="0DE0FFCB"/>
    <w:rsid w:val="0E1E7503"/>
    <w:rsid w:val="0E889F2E"/>
    <w:rsid w:val="0F085AFE"/>
    <w:rsid w:val="0F399440"/>
    <w:rsid w:val="0F7F92E8"/>
    <w:rsid w:val="0FDA92FB"/>
    <w:rsid w:val="0FE76FAD"/>
    <w:rsid w:val="1033FBF8"/>
    <w:rsid w:val="106D2DB3"/>
    <w:rsid w:val="10CB8FB8"/>
    <w:rsid w:val="10DC1A4B"/>
    <w:rsid w:val="10E46231"/>
    <w:rsid w:val="10FF19C3"/>
    <w:rsid w:val="11220696"/>
    <w:rsid w:val="11380B80"/>
    <w:rsid w:val="114BE524"/>
    <w:rsid w:val="1156121E"/>
    <w:rsid w:val="11B2FB07"/>
    <w:rsid w:val="121C8192"/>
    <w:rsid w:val="1353F60B"/>
    <w:rsid w:val="1360DC20"/>
    <w:rsid w:val="14279F08"/>
    <w:rsid w:val="1452016F"/>
    <w:rsid w:val="14B9EF42"/>
    <w:rsid w:val="157C9D5C"/>
    <w:rsid w:val="15C93C76"/>
    <w:rsid w:val="15E35AE4"/>
    <w:rsid w:val="167F2FC9"/>
    <w:rsid w:val="16A918C2"/>
    <w:rsid w:val="16B7AE7A"/>
    <w:rsid w:val="171E6DB2"/>
    <w:rsid w:val="172034DD"/>
    <w:rsid w:val="17D8A652"/>
    <w:rsid w:val="17DCC635"/>
    <w:rsid w:val="180A6E08"/>
    <w:rsid w:val="18BB32DC"/>
    <w:rsid w:val="195F43B9"/>
    <w:rsid w:val="1978B5FB"/>
    <w:rsid w:val="19C7C6EA"/>
    <w:rsid w:val="1AB15A67"/>
    <w:rsid w:val="1AB546D4"/>
    <w:rsid w:val="1AE8E44A"/>
    <w:rsid w:val="1B726324"/>
    <w:rsid w:val="1B918BB5"/>
    <w:rsid w:val="1BE1686F"/>
    <w:rsid w:val="1BE36AEE"/>
    <w:rsid w:val="1BF0210D"/>
    <w:rsid w:val="1BF44E35"/>
    <w:rsid w:val="1C1448C1"/>
    <w:rsid w:val="1CCF25F1"/>
    <w:rsid w:val="1CD22901"/>
    <w:rsid w:val="1CDCAF4C"/>
    <w:rsid w:val="1CED8093"/>
    <w:rsid w:val="1DE6EFFE"/>
    <w:rsid w:val="1E356342"/>
    <w:rsid w:val="1E4F5677"/>
    <w:rsid w:val="1F8430D7"/>
    <w:rsid w:val="1FA84948"/>
    <w:rsid w:val="1FA9AC3E"/>
    <w:rsid w:val="1FC44033"/>
    <w:rsid w:val="2005AFDD"/>
    <w:rsid w:val="2054B32F"/>
    <w:rsid w:val="209307AC"/>
    <w:rsid w:val="218AA1D3"/>
    <w:rsid w:val="218EDB01"/>
    <w:rsid w:val="2194FA3B"/>
    <w:rsid w:val="21B1E67D"/>
    <w:rsid w:val="220B4B64"/>
    <w:rsid w:val="2276EF81"/>
    <w:rsid w:val="22995948"/>
    <w:rsid w:val="22CBFAC4"/>
    <w:rsid w:val="2300CADA"/>
    <w:rsid w:val="23C434B3"/>
    <w:rsid w:val="241F195D"/>
    <w:rsid w:val="243DB499"/>
    <w:rsid w:val="244DAF68"/>
    <w:rsid w:val="24A16BA4"/>
    <w:rsid w:val="24EF9B55"/>
    <w:rsid w:val="250ECE66"/>
    <w:rsid w:val="2537CE64"/>
    <w:rsid w:val="255E26C0"/>
    <w:rsid w:val="256716BF"/>
    <w:rsid w:val="25BD3633"/>
    <w:rsid w:val="25CBC20A"/>
    <w:rsid w:val="25E47EFB"/>
    <w:rsid w:val="26145A26"/>
    <w:rsid w:val="2678134C"/>
    <w:rsid w:val="26A81AEC"/>
    <w:rsid w:val="26C10085"/>
    <w:rsid w:val="26D464A7"/>
    <w:rsid w:val="27388B69"/>
    <w:rsid w:val="283A904E"/>
    <w:rsid w:val="285E8775"/>
    <w:rsid w:val="28B91793"/>
    <w:rsid w:val="28BE7EAE"/>
    <w:rsid w:val="28D2557B"/>
    <w:rsid w:val="28D3AB0C"/>
    <w:rsid w:val="28D5A149"/>
    <w:rsid w:val="28F8CFAC"/>
    <w:rsid w:val="29CF8059"/>
    <w:rsid w:val="29D22D05"/>
    <w:rsid w:val="2A2979D4"/>
    <w:rsid w:val="2A4475F5"/>
    <w:rsid w:val="2A4AB9C0"/>
    <w:rsid w:val="2A4AF419"/>
    <w:rsid w:val="2AC9D768"/>
    <w:rsid w:val="2BCC7982"/>
    <w:rsid w:val="2BD70321"/>
    <w:rsid w:val="2BF189D0"/>
    <w:rsid w:val="2BFEB84F"/>
    <w:rsid w:val="2C5DB500"/>
    <w:rsid w:val="2CB85D94"/>
    <w:rsid w:val="2CCED24A"/>
    <w:rsid w:val="2D12153E"/>
    <w:rsid w:val="2D42C6E6"/>
    <w:rsid w:val="2D98E3E9"/>
    <w:rsid w:val="2E227036"/>
    <w:rsid w:val="2E256E7C"/>
    <w:rsid w:val="2E76ED10"/>
    <w:rsid w:val="2F0EBC8E"/>
    <w:rsid w:val="2F4A4FBF"/>
    <w:rsid w:val="2F6ADA86"/>
    <w:rsid w:val="2F7803CE"/>
    <w:rsid w:val="30079D1C"/>
    <w:rsid w:val="30283CEB"/>
    <w:rsid w:val="303CFED4"/>
    <w:rsid w:val="30547B21"/>
    <w:rsid w:val="30D5D7F2"/>
    <w:rsid w:val="316794B5"/>
    <w:rsid w:val="31C5EF63"/>
    <w:rsid w:val="32884732"/>
    <w:rsid w:val="3295BCF7"/>
    <w:rsid w:val="32BE39AB"/>
    <w:rsid w:val="33217924"/>
    <w:rsid w:val="33A4B926"/>
    <w:rsid w:val="33D3BCBC"/>
    <w:rsid w:val="344BAD83"/>
    <w:rsid w:val="349D6609"/>
    <w:rsid w:val="349F9E31"/>
    <w:rsid w:val="34C7459C"/>
    <w:rsid w:val="34DD79BF"/>
    <w:rsid w:val="3532B133"/>
    <w:rsid w:val="3563B0EE"/>
    <w:rsid w:val="356E4638"/>
    <w:rsid w:val="35F689E2"/>
    <w:rsid w:val="3606DC74"/>
    <w:rsid w:val="363A5649"/>
    <w:rsid w:val="3672DB9B"/>
    <w:rsid w:val="36BE637E"/>
    <w:rsid w:val="36E17F5C"/>
    <w:rsid w:val="36E88377"/>
    <w:rsid w:val="37AF2F18"/>
    <w:rsid w:val="382F4661"/>
    <w:rsid w:val="3843A093"/>
    <w:rsid w:val="38AA6860"/>
    <w:rsid w:val="39393EAC"/>
    <w:rsid w:val="397D140A"/>
    <w:rsid w:val="39E0B905"/>
    <w:rsid w:val="39E2CC57"/>
    <w:rsid w:val="3A985916"/>
    <w:rsid w:val="3A9B4B18"/>
    <w:rsid w:val="3ABE0E2C"/>
    <w:rsid w:val="3ADFC016"/>
    <w:rsid w:val="3B093C0A"/>
    <w:rsid w:val="3BE48A54"/>
    <w:rsid w:val="3BEEE85E"/>
    <w:rsid w:val="3C05F08D"/>
    <w:rsid w:val="3C09441E"/>
    <w:rsid w:val="3C560795"/>
    <w:rsid w:val="3C7F3F16"/>
    <w:rsid w:val="3C888ABE"/>
    <w:rsid w:val="3CE711D0"/>
    <w:rsid w:val="3CED4BF3"/>
    <w:rsid w:val="3D7F399A"/>
    <w:rsid w:val="3D925E11"/>
    <w:rsid w:val="3D9374FC"/>
    <w:rsid w:val="3DC89CB6"/>
    <w:rsid w:val="3F7080A5"/>
    <w:rsid w:val="3FC14426"/>
    <w:rsid w:val="3FE7C795"/>
    <w:rsid w:val="4042AA0B"/>
    <w:rsid w:val="409443B8"/>
    <w:rsid w:val="40C4529A"/>
    <w:rsid w:val="40DAC51E"/>
    <w:rsid w:val="40E0332F"/>
    <w:rsid w:val="40F67CE6"/>
    <w:rsid w:val="4119D5BB"/>
    <w:rsid w:val="41A2928B"/>
    <w:rsid w:val="41D08C1C"/>
    <w:rsid w:val="41FEEA67"/>
    <w:rsid w:val="4289A082"/>
    <w:rsid w:val="42C92B28"/>
    <w:rsid w:val="42D83699"/>
    <w:rsid w:val="4319ECD4"/>
    <w:rsid w:val="4323B93F"/>
    <w:rsid w:val="4366717B"/>
    <w:rsid w:val="43BEBFE1"/>
    <w:rsid w:val="43BF8518"/>
    <w:rsid w:val="441CD56D"/>
    <w:rsid w:val="4478A38F"/>
    <w:rsid w:val="449C8431"/>
    <w:rsid w:val="44D59FA7"/>
    <w:rsid w:val="44F64FF5"/>
    <w:rsid w:val="451D66E0"/>
    <w:rsid w:val="4532D958"/>
    <w:rsid w:val="45689E53"/>
    <w:rsid w:val="4644BD75"/>
    <w:rsid w:val="46A33D94"/>
    <w:rsid w:val="46C46C09"/>
    <w:rsid w:val="47196ADF"/>
    <w:rsid w:val="4722E244"/>
    <w:rsid w:val="47B3F060"/>
    <w:rsid w:val="4847C8F1"/>
    <w:rsid w:val="48495D7C"/>
    <w:rsid w:val="492232DC"/>
    <w:rsid w:val="49608EBD"/>
    <w:rsid w:val="4A5BFADA"/>
    <w:rsid w:val="4B51A552"/>
    <w:rsid w:val="4B9E00AA"/>
    <w:rsid w:val="4CB3F9E0"/>
    <w:rsid w:val="4CCA453A"/>
    <w:rsid w:val="4D30E971"/>
    <w:rsid w:val="4D39AB70"/>
    <w:rsid w:val="4D42BE90"/>
    <w:rsid w:val="4D4AB33C"/>
    <w:rsid w:val="4D63D4F7"/>
    <w:rsid w:val="4DDAC615"/>
    <w:rsid w:val="4DFC45B1"/>
    <w:rsid w:val="4E86F08A"/>
    <w:rsid w:val="4E8AA7BE"/>
    <w:rsid w:val="4EA7E7CF"/>
    <w:rsid w:val="4F4DA1CC"/>
    <w:rsid w:val="4F774E6D"/>
    <w:rsid w:val="4F8D86B4"/>
    <w:rsid w:val="4FB201F8"/>
    <w:rsid w:val="5000E8C5"/>
    <w:rsid w:val="5041F04F"/>
    <w:rsid w:val="504944B9"/>
    <w:rsid w:val="50500DF8"/>
    <w:rsid w:val="5081CC1B"/>
    <w:rsid w:val="50C73AEB"/>
    <w:rsid w:val="50E93C86"/>
    <w:rsid w:val="5177519A"/>
    <w:rsid w:val="517B2600"/>
    <w:rsid w:val="51B6F595"/>
    <w:rsid w:val="52400E48"/>
    <w:rsid w:val="532AABF5"/>
    <w:rsid w:val="5368A639"/>
    <w:rsid w:val="5381C861"/>
    <w:rsid w:val="539DD844"/>
    <w:rsid w:val="53F0A9C1"/>
    <w:rsid w:val="542F9BDC"/>
    <w:rsid w:val="54399276"/>
    <w:rsid w:val="54E1F924"/>
    <w:rsid w:val="554CE720"/>
    <w:rsid w:val="55BA93BE"/>
    <w:rsid w:val="55D6AF24"/>
    <w:rsid w:val="55D833A9"/>
    <w:rsid w:val="563088A7"/>
    <w:rsid w:val="5645F8BD"/>
    <w:rsid w:val="57664216"/>
    <w:rsid w:val="577BBA21"/>
    <w:rsid w:val="57F17261"/>
    <w:rsid w:val="584ACE9A"/>
    <w:rsid w:val="585B665C"/>
    <w:rsid w:val="59158836"/>
    <w:rsid w:val="59E5CBE7"/>
    <w:rsid w:val="5A21A921"/>
    <w:rsid w:val="5A492203"/>
    <w:rsid w:val="5A923468"/>
    <w:rsid w:val="5AA0BD0A"/>
    <w:rsid w:val="5AB0FDED"/>
    <w:rsid w:val="5ABDFFB0"/>
    <w:rsid w:val="5B687305"/>
    <w:rsid w:val="5B68F34F"/>
    <w:rsid w:val="5C1B612A"/>
    <w:rsid w:val="5C2E46AB"/>
    <w:rsid w:val="5C3FA11D"/>
    <w:rsid w:val="5C8A7556"/>
    <w:rsid w:val="5CBC8A58"/>
    <w:rsid w:val="5CCD1BBB"/>
    <w:rsid w:val="5D9FF662"/>
    <w:rsid w:val="5E24262E"/>
    <w:rsid w:val="5E4C13E9"/>
    <w:rsid w:val="5E71F00A"/>
    <w:rsid w:val="5EBB9DB5"/>
    <w:rsid w:val="5ED8C75C"/>
    <w:rsid w:val="5F0B4FA7"/>
    <w:rsid w:val="5FD16BD9"/>
    <w:rsid w:val="601DF8D2"/>
    <w:rsid w:val="6020C133"/>
    <w:rsid w:val="603ACA88"/>
    <w:rsid w:val="603FCDF9"/>
    <w:rsid w:val="604D12EB"/>
    <w:rsid w:val="60B53C22"/>
    <w:rsid w:val="60DE6535"/>
    <w:rsid w:val="61323849"/>
    <w:rsid w:val="61788ECB"/>
    <w:rsid w:val="61BA5F27"/>
    <w:rsid w:val="61F60134"/>
    <w:rsid w:val="6262247B"/>
    <w:rsid w:val="634BF3E2"/>
    <w:rsid w:val="6378CDCF"/>
    <w:rsid w:val="64305ADC"/>
    <w:rsid w:val="64407369"/>
    <w:rsid w:val="6472B01C"/>
    <w:rsid w:val="64859C9F"/>
    <w:rsid w:val="648AEDE7"/>
    <w:rsid w:val="652D427D"/>
    <w:rsid w:val="65916CED"/>
    <w:rsid w:val="65BB58CB"/>
    <w:rsid w:val="6702C215"/>
    <w:rsid w:val="687DAFBC"/>
    <w:rsid w:val="698D9E5F"/>
    <w:rsid w:val="69CC03B9"/>
    <w:rsid w:val="6A424E04"/>
    <w:rsid w:val="6B13A80E"/>
    <w:rsid w:val="6B35E46F"/>
    <w:rsid w:val="6B4089C8"/>
    <w:rsid w:val="6B7292F4"/>
    <w:rsid w:val="6B7C97B6"/>
    <w:rsid w:val="6B81956D"/>
    <w:rsid w:val="6B8624F5"/>
    <w:rsid w:val="6BD5AB94"/>
    <w:rsid w:val="6C2E7926"/>
    <w:rsid w:val="6D1AB1BC"/>
    <w:rsid w:val="6D30DF76"/>
    <w:rsid w:val="6D4086EA"/>
    <w:rsid w:val="6D621830"/>
    <w:rsid w:val="6DA5CB8F"/>
    <w:rsid w:val="6ECBB91C"/>
    <w:rsid w:val="6ED94173"/>
    <w:rsid w:val="6EDE4E12"/>
    <w:rsid w:val="6EFBEDCF"/>
    <w:rsid w:val="6F12695E"/>
    <w:rsid w:val="70BBEDF0"/>
    <w:rsid w:val="70DF72E5"/>
    <w:rsid w:val="70EC85F8"/>
    <w:rsid w:val="7110DC80"/>
    <w:rsid w:val="71123974"/>
    <w:rsid w:val="71255327"/>
    <w:rsid w:val="7127542A"/>
    <w:rsid w:val="722DC7CC"/>
    <w:rsid w:val="72B25795"/>
    <w:rsid w:val="73859F22"/>
    <w:rsid w:val="738A2830"/>
    <w:rsid w:val="73EF204F"/>
    <w:rsid w:val="73F60B98"/>
    <w:rsid w:val="744AA27E"/>
    <w:rsid w:val="74C4DA0F"/>
    <w:rsid w:val="74CFDB50"/>
    <w:rsid w:val="758E438E"/>
    <w:rsid w:val="75CB624D"/>
    <w:rsid w:val="765E9D7A"/>
    <w:rsid w:val="7662E28E"/>
    <w:rsid w:val="767D6ED3"/>
    <w:rsid w:val="768412F3"/>
    <w:rsid w:val="76B92F41"/>
    <w:rsid w:val="76C6F713"/>
    <w:rsid w:val="77515134"/>
    <w:rsid w:val="776060ED"/>
    <w:rsid w:val="78590768"/>
    <w:rsid w:val="78A1A2F9"/>
    <w:rsid w:val="78BE6790"/>
    <w:rsid w:val="78D274D3"/>
    <w:rsid w:val="7916E985"/>
    <w:rsid w:val="79AD237A"/>
    <w:rsid w:val="79CBD461"/>
    <w:rsid w:val="7A4E2670"/>
    <w:rsid w:val="7A89C487"/>
    <w:rsid w:val="7A919380"/>
    <w:rsid w:val="7B068D9E"/>
    <w:rsid w:val="7B3D6DA6"/>
    <w:rsid w:val="7BAF8C9F"/>
    <w:rsid w:val="7C504217"/>
    <w:rsid w:val="7C52D830"/>
    <w:rsid w:val="7CB95203"/>
    <w:rsid w:val="7D0DF897"/>
    <w:rsid w:val="7D29A1A6"/>
    <w:rsid w:val="7D99E7ED"/>
    <w:rsid w:val="7E5C127D"/>
    <w:rsid w:val="7EAE0613"/>
    <w:rsid w:val="7EE61924"/>
    <w:rsid w:val="7F38FBF9"/>
    <w:rsid w:val="7F8A5AD9"/>
    <w:rsid w:val="7FD67BDC"/>
    <w:rsid w:val="7FE6FF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E9D075"/>
  <w14:defaultImageDpi w14:val="300"/>
  <w15:docId w15:val="{F8557657-2651-4B8C-A6BB-CA1EAF44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770"/>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1F67B8"/>
    <w:pPr>
      <w:keepNext/>
      <w:keepLines/>
      <w:spacing w:before="240" w:line="360" w:lineRule="auto"/>
      <w:outlineLvl w:val="0"/>
    </w:pPr>
    <w:rPr>
      <w:rFonts w:ascii="Arial" w:eastAsiaTheme="majorEastAsia" w:hAnsi="Arial" w:cstheme="majorBidi"/>
      <w:b/>
      <w:sz w:val="40"/>
      <w:szCs w:val="32"/>
      <w:lang w:eastAsia="en-US"/>
    </w:rPr>
  </w:style>
  <w:style w:type="paragraph" w:styleId="Heading2">
    <w:name w:val="heading 2"/>
    <w:basedOn w:val="Normal"/>
    <w:next w:val="Normal"/>
    <w:link w:val="Heading2Char"/>
    <w:uiPriority w:val="9"/>
    <w:unhideWhenUsed/>
    <w:qFormat/>
    <w:rsid w:val="00683700"/>
    <w:pPr>
      <w:keepNext/>
      <w:keepLines/>
      <w:spacing w:before="40" w:line="360" w:lineRule="auto"/>
      <w:outlineLvl w:val="1"/>
    </w:pPr>
    <w:rPr>
      <w:rFonts w:ascii="Arial" w:eastAsiaTheme="majorEastAsia" w:hAnsi="Arial" w:cstheme="majorBidi"/>
      <w:b/>
      <w:color w:val="000000" w:themeColor="text1"/>
      <w:szCs w:val="26"/>
      <w:lang w:eastAsia="en-US"/>
    </w:rPr>
  </w:style>
  <w:style w:type="paragraph" w:styleId="Heading3">
    <w:name w:val="heading 3"/>
    <w:basedOn w:val="Normal"/>
    <w:next w:val="Normal"/>
    <w:link w:val="Heading3Char"/>
    <w:uiPriority w:val="9"/>
    <w:unhideWhenUsed/>
    <w:qFormat/>
    <w:rsid w:val="00350B3C"/>
    <w:pPr>
      <w:keepNext/>
      <w:keepLines/>
      <w:spacing w:before="40" w:line="360" w:lineRule="auto"/>
      <w:outlineLvl w:val="2"/>
    </w:pPr>
    <w:rPr>
      <w:rFonts w:ascii="Arial" w:eastAsiaTheme="majorEastAsia" w:hAnsi="Arial" w:cstheme="majorBidi"/>
      <w:lang w:eastAsia="en-US"/>
    </w:rPr>
  </w:style>
  <w:style w:type="paragraph" w:styleId="Heading4">
    <w:name w:val="heading 4"/>
    <w:basedOn w:val="Normal"/>
    <w:next w:val="Normal"/>
    <w:link w:val="Heading4Char"/>
    <w:uiPriority w:val="9"/>
    <w:semiHidden/>
    <w:unhideWhenUsed/>
    <w:qFormat/>
    <w:rsid w:val="00C048F5"/>
    <w:pPr>
      <w:keepNext/>
      <w:keepLines/>
      <w:spacing w:before="40" w:line="360" w:lineRule="auto"/>
      <w:outlineLvl w:val="3"/>
    </w:pPr>
    <w:rPr>
      <w:rFonts w:asciiTheme="majorHAnsi" w:eastAsiaTheme="majorEastAsia" w:hAnsiTheme="majorHAnsi" w:cstheme="majorBidi"/>
      <w:i/>
      <w:iCs/>
      <w:color w:val="365F91" w:themeColor="accent1" w:themeShade="BF"/>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DB4"/>
    <w:pPr>
      <w:tabs>
        <w:tab w:val="center" w:pos="4513"/>
        <w:tab w:val="right" w:pos="9026"/>
      </w:tabs>
    </w:pPr>
    <w:rPr>
      <w:rFonts w:ascii="Arial" w:eastAsia="Calibri" w:hAnsi="Arial"/>
      <w:szCs w:val="22"/>
      <w:lang w:eastAsia="en-US"/>
    </w:rPr>
  </w:style>
  <w:style w:type="character" w:customStyle="1" w:styleId="HeaderChar">
    <w:name w:val="Header Char"/>
    <w:basedOn w:val="DefaultParagraphFont"/>
    <w:link w:val="Header"/>
    <w:uiPriority w:val="99"/>
    <w:rsid w:val="00383DB4"/>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383DB4"/>
    <w:rPr>
      <w:rFonts w:ascii="Lucida Grande" w:eastAsia="Calibri"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383DB4"/>
    <w:rPr>
      <w:rFonts w:ascii="Lucida Grande" w:eastAsia="Calibri" w:hAnsi="Lucida Grande" w:cs="Lucida Grande"/>
      <w:sz w:val="18"/>
      <w:szCs w:val="18"/>
    </w:rPr>
  </w:style>
  <w:style w:type="paragraph" w:styleId="Footer">
    <w:name w:val="footer"/>
    <w:basedOn w:val="Normal"/>
    <w:link w:val="FooterChar"/>
    <w:uiPriority w:val="99"/>
    <w:unhideWhenUsed/>
    <w:rsid w:val="00353751"/>
    <w:pPr>
      <w:tabs>
        <w:tab w:val="center" w:pos="4320"/>
        <w:tab w:val="right" w:pos="8640"/>
      </w:tabs>
    </w:pPr>
    <w:rPr>
      <w:rFonts w:ascii="Arial" w:eastAsia="Calibri" w:hAnsi="Arial"/>
      <w:szCs w:val="22"/>
      <w:lang w:eastAsia="en-US"/>
    </w:rPr>
  </w:style>
  <w:style w:type="character" w:customStyle="1" w:styleId="FooterChar">
    <w:name w:val="Footer Char"/>
    <w:basedOn w:val="DefaultParagraphFont"/>
    <w:link w:val="Footer"/>
    <w:uiPriority w:val="99"/>
    <w:rsid w:val="00353751"/>
    <w:rPr>
      <w:rFonts w:ascii="Calibri" w:eastAsia="Calibri" w:hAnsi="Calibri" w:cs="Times New Roman"/>
      <w:sz w:val="22"/>
      <w:szCs w:val="22"/>
    </w:rPr>
  </w:style>
  <w:style w:type="table" w:styleId="TableGrid">
    <w:name w:val="Table Grid"/>
    <w:basedOn w:val="TableNormal"/>
    <w:uiPriority w:val="39"/>
    <w:rsid w:val="00353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1C09"/>
    <w:rPr>
      <w:sz w:val="16"/>
      <w:szCs w:val="16"/>
    </w:rPr>
  </w:style>
  <w:style w:type="paragraph" w:styleId="CommentText">
    <w:name w:val="annotation text"/>
    <w:basedOn w:val="Normal"/>
    <w:link w:val="CommentTextChar"/>
    <w:uiPriority w:val="99"/>
    <w:semiHidden/>
    <w:unhideWhenUsed/>
    <w:rsid w:val="00FC1C09"/>
    <w:pPr>
      <w:spacing w:after="200"/>
    </w:pPr>
    <w:rPr>
      <w:rFonts w:ascii="Arial" w:eastAsia="Calibri" w:hAnsi="Arial"/>
      <w:sz w:val="20"/>
      <w:szCs w:val="20"/>
      <w:lang w:eastAsia="en-US"/>
    </w:rPr>
  </w:style>
  <w:style w:type="character" w:customStyle="1" w:styleId="CommentTextChar">
    <w:name w:val="Comment Text Char"/>
    <w:basedOn w:val="DefaultParagraphFont"/>
    <w:link w:val="CommentText"/>
    <w:uiPriority w:val="99"/>
    <w:semiHidden/>
    <w:rsid w:val="00FC1C0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C1C09"/>
    <w:rPr>
      <w:b/>
      <w:bCs/>
    </w:rPr>
  </w:style>
  <w:style w:type="character" w:customStyle="1" w:styleId="CommentSubjectChar">
    <w:name w:val="Comment Subject Char"/>
    <w:basedOn w:val="CommentTextChar"/>
    <w:link w:val="CommentSubject"/>
    <w:uiPriority w:val="99"/>
    <w:semiHidden/>
    <w:rsid w:val="00FC1C09"/>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1F67B8"/>
    <w:rPr>
      <w:rFonts w:ascii="Arial" w:eastAsiaTheme="majorEastAsia" w:hAnsi="Arial" w:cstheme="majorBidi"/>
      <w:b/>
      <w:sz w:val="40"/>
      <w:szCs w:val="32"/>
    </w:rPr>
  </w:style>
  <w:style w:type="paragraph" w:styleId="NoSpacing">
    <w:name w:val="No Spacing"/>
    <w:uiPriority w:val="1"/>
    <w:qFormat/>
    <w:rsid w:val="00481D4F"/>
    <w:rPr>
      <w:rFonts w:ascii="Calibri" w:eastAsia="Calibri" w:hAnsi="Calibri" w:cs="Times New Roman"/>
      <w:sz w:val="22"/>
      <w:szCs w:val="22"/>
    </w:rPr>
  </w:style>
  <w:style w:type="paragraph" w:styleId="ListParagraph">
    <w:name w:val="List Paragraph"/>
    <w:basedOn w:val="Normal"/>
    <w:uiPriority w:val="34"/>
    <w:qFormat/>
    <w:rsid w:val="00D57E13"/>
    <w:pPr>
      <w:spacing w:after="200" w:line="360" w:lineRule="auto"/>
      <w:ind w:left="720"/>
      <w:contextualSpacing/>
    </w:pPr>
    <w:rPr>
      <w:rFonts w:ascii="Arial" w:eastAsia="Calibri" w:hAnsi="Arial"/>
      <w:szCs w:val="22"/>
      <w:lang w:eastAsia="en-US"/>
    </w:rPr>
  </w:style>
  <w:style w:type="character" w:styleId="Hyperlink">
    <w:name w:val="Hyperlink"/>
    <w:basedOn w:val="DefaultParagraphFont"/>
    <w:uiPriority w:val="99"/>
    <w:unhideWhenUsed/>
    <w:rsid w:val="00AC471F"/>
    <w:rPr>
      <w:color w:val="0000FF" w:themeColor="hyperlink"/>
      <w:u w:val="single"/>
    </w:rPr>
  </w:style>
  <w:style w:type="character" w:customStyle="1" w:styleId="UnresolvedMention1">
    <w:name w:val="Unresolved Mention1"/>
    <w:basedOn w:val="DefaultParagraphFont"/>
    <w:uiPriority w:val="99"/>
    <w:semiHidden/>
    <w:unhideWhenUsed/>
    <w:rsid w:val="00AC471F"/>
    <w:rPr>
      <w:color w:val="605E5C"/>
      <w:shd w:val="clear" w:color="auto" w:fill="E1DFDD"/>
    </w:rPr>
  </w:style>
  <w:style w:type="paragraph" w:customStyle="1" w:styleId="paragraph">
    <w:name w:val="paragraph"/>
    <w:basedOn w:val="Normal"/>
    <w:rsid w:val="004E0C5F"/>
    <w:pPr>
      <w:spacing w:before="100" w:beforeAutospacing="1" w:after="100" w:afterAutospacing="1"/>
    </w:pPr>
    <w:rPr>
      <w:lang w:eastAsia="en-US"/>
    </w:rPr>
  </w:style>
  <w:style w:type="character" w:customStyle="1" w:styleId="normaltextrun">
    <w:name w:val="normaltextrun"/>
    <w:basedOn w:val="DefaultParagraphFont"/>
    <w:rsid w:val="004E0C5F"/>
  </w:style>
  <w:style w:type="character" w:customStyle="1" w:styleId="eop">
    <w:name w:val="eop"/>
    <w:basedOn w:val="DefaultParagraphFont"/>
    <w:rsid w:val="004E0C5F"/>
  </w:style>
  <w:style w:type="character" w:customStyle="1" w:styleId="Heading2Char">
    <w:name w:val="Heading 2 Char"/>
    <w:basedOn w:val="DefaultParagraphFont"/>
    <w:link w:val="Heading2"/>
    <w:uiPriority w:val="9"/>
    <w:rsid w:val="00683700"/>
    <w:rPr>
      <w:rFonts w:ascii="Arial" w:eastAsiaTheme="majorEastAsia" w:hAnsi="Arial" w:cstheme="majorBidi"/>
      <w:b/>
      <w:color w:val="000000" w:themeColor="text1"/>
      <w:szCs w:val="26"/>
    </w:rPr>
  </w:style>
  <w:style w:type="character" w:customStyle="1" w:styleId="Heading3Char">
    <w:name w:val="Heading 3 Char"/>
    <w:basedOn w:val="DefaultParagraphFont"/>
    <w:link w:val="Heading3"/>
    <w:uiPriority w:val="9"/>
    <w:rsid w:val="00350B3C"/>
    <w:rPr>
      <w:rFonts w:ascii="Arial" w:eastAsiaTheme="majorEastAsia" w:hAnsi="Arial" w:cstheme="majorBidi"/>
    </w:rPr>
  </w:style>
  <w:style w:type="paragraph" w:styleId="TOCHeading">
    <w:name w:val="TOC Heading"/>
    <w:basedOn w:val="Heading1"/>
    <w:next w:val="Normal"/>
    <w:uiPriority w:val="39"/>
    <w:unhideWhenUsed/>
    <w:qFormat/>
    <w:rsid w:val="00EF45BA"/>
    <w:pPr>
      <w:spacing w:line="259" w:lineRule="auto"/>
      <w:outlineLvl w:val="9"/>
    </w:pPr>
    <w:rPr>
      <w:rFonts w:asciiTheme="majorHAnsi" w:hAnsiTheme="majorHAnsi"/>
      <w:b w:val="0"/>
      <w:color w:val="365F91" w:themeColor="accent1" w:themeShade="BF"/>
      <w:lang w:val="en-US"/>
    </w:rPr>
  </w:style>
  <w:style w:type="paragraph" w:styleId="TOC1">
    <w:name w:val="toc 1"/>
    <w:basedOn w:val="Normal"/>
    <w:next w:val="Normal"/>
    <w:autoRedefine/>
    <w:uiPriority w:val="39"/>
    <w:unhideWhenUsed/>
    <w:rsid w:val="00D3219C"/>
    <w:pPr>
      <w:spacing w:after="100" w:line="360" w:lineRule="auto"/>
    </w:pPr>
    <w:rPr>
      <w:rFonts w:ascii="Arial" w:eastAsia="Calibri" w:hAnsi="Arial"/>
      <w:szCs w:val="22"/>
      <w:lang w:eastAsia="en-US"/>
    </w:rPr>
  </w:style>
  <w:style w:type="character" w:styleId="PlaceholderText">
    <w:name w:val="Placeholder Text"/>
    <w:basedOn w:val="DefaultParagraphFont"/>
    <w:uiPriority w:val="99"/>
    <w:semiHidden/>
    <w:rsid w:val="00CD3B66"/>
    <w:rPr>
      <w:color w:val="666666"/>
    </w:rPr>
  </w:style>
  <w:style w:type="paragraph" w:styleId="Caption">
    <w:name w:val="caption"/>
    <w:basedOn w:val="Normal"/>
    <w:next w:val="Normal"/>
    <w:uiPriority w:val="35"/>
    <w:unhideWhenUsed/>
    <w:qFormat/>
    <w:rsid w:val="00F21F30"/>
    <w:pPr>
      <w:spacing w:after="200"/>
    </w:pPr>
    <w:rPr>
      <w:rFonts w:ascii="Arial" w:eastAsia="Calibri" w:hAnsi="Arial"/>
      <w:i/>
      <w:iCs/>
      <w:color w:val="1F497D" w:themeColor="text2"/>
      <w:sz w:val="18"/>
      <w:szCs w:val="18"/>
      <w:lang w:eastAsia="en-US"/>
    </w:rPr>
  </w:style>
  <w:style w:type="character" w:styleId="FollowedHyperlink">
    <w:name w:val="FollowedHyperlink"/>
    <w:basedOn w:val="DefaultParagraphFont"/>
    <w:uiPriority w:val="99"/>
    <w:semiHidden/>
    <w:unhideWhenUsed/>
    <w:rsid w:val="001D3B5E"/>
    <w:rPr>
      <w:color w:val="800080" w:themeColor="followedHyperlink"/>
      <w:u w:val="single"/>
    </w:rPr>
  </w:style>
  <w:style w:type="paragraph" w:styleId="TOC2">
    <w:name w:val="toc 2"/>
    <w:basedOn w:val="Normal"/>
    <w:next w:val="Normal"/>
    <w:autoRedefine/>
    <w:uiPriority w:val="39"/>
    <w:unhideWhenUsed/>
    <w:rsid w:val="00D3219C"/>
    <w:pPr>
      <w:spacing w:after="100" w:line="360" w:lineRule="auto"/>
      <w:ind w:left="220"/>
    </w:pPr>
    <w:rPr>
      <w:rFonts w:ascii="Arial" w:eastAsia="Calibri" w:hAnsi="Arial"/>
      <w:szCs w:val="22"/>
      <w:lang w:eastAsia="en-US"/>
    </w:rPr>
  </w:style>
  <w:style w:type="paragraph" w:styleId="TableofFigures">
    <w:name w:val="table of figures"/>
    <w:basedOn w:val="Normal"/>
    <w:next w:val="Normal"/>
    <w:uiPriority w:val="99"/>
    <w:unhideWhenUsed/>
    <w:rsid w:val="00A51844"/>
    <w:pPr>
      <w:spacing w:line="360" w:lineRule="auto"/>
    </w:pPr>
    <w:rPr>
      <w:rFonts w:asciiTheme="minorHAnsi" w:eastAsia="Calibri" w:hAnsiTheme="minorHAnsi"/>
      <w:i/>
      <w:iCs/>
      <w:sz w:val="20"/>
      <w:szCs w:val="20"/>
      <w:lang w:eastAsia="en-US"/>
    </w:rPr>
  </w:style>
  <w:style w:type="character" w:customStyle="1" w:styleId="Heading4Char">
    <w:name w:val="Heading 4 Char"/>
    <w:basedOn w:val="DefaultParagraphFont"/>
    <w:link w:val="Heading4"/>
    <w:uiPriority w:val="9"/>
    <w:semiHidden/>
    <w:rsid w:val="00C048F5"/>
    <w:rPr>
      <w:rFonts w:asciiTheme="majorHAnsi" w:eastAsiaTheme="majorEastAsia" w:hAnsiTheme="majorHAnsi" w:cstheme="majorBidi"/>
      <w:i/>
      <w:iCs/>
      <w:color w:val="365F91" w:themeColor="accent1" w:themeShade="BF"/>
      <w:szCs w:val="22"/>
    </w:rPr>
  </w:style>
  <w:style w:type="table" w:styleId="LightList-Accent1">
    <w:name w:val="Light List Accent 1"/>
    <w:basedOn w:val="TableNormal"/>
    <w:uiPriority w:val="61"/>
    <w:semiHidden/>
    <w:unhideWhenUsed/>
    <w:rsid w:val="00B8103F"/>
    <w:rPr>
      <w:rFonts w:ascii="Cambria" w:eastAsia="MS Mincho" w:hAnsi="Cambria" w:cs="Times New Roman"/>
      <w:sz w:val="22"/>
      <w:szCs w:val="22"/>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1">
    <w:name w:val="Table Grid1"/>
    <w:basedOn w:val="TableNormal"/>
    <w:next w:val="TableGrid"/>
    <w:uiPriority w:val="59"/>
    <w:rsid w:val="00BD7140"/>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74029"/>
    <w:pPr>
      <w:spacing w:before="100" w:beforeAutospacing="1" w:after="100" w:afterAutospacing="1"/>
    </w:pPr>
    <w:rPr>
      <w:lang w:eastAsia="en-US"/>
    </w:rPr>
  </w:style>
  <w:style w:type="character" w:styleId="Emphasis">
    <w:name w:val="Emphasis"/>
    <w:basedOn w:val="DefaultParagraphFont"/>
    <w:uiPriority w:val="20"/>
    <w:qFormat/>
    <w:rsid w:val="00B74029"/>
    <w:rPr>
      <w:i/>
      <w:iCs/>
    </w:rPr>
  </w:style>
  <w:style w:type="table" w:styleId="PlainTable3">
    <w:name w:val="Plain Table 3"/>
    <w:basedOn w:val="TableNormal"/>
    <w:uiPriority w:val="99"/>
    <w:rsid w:val="00D14E1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D14E1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115107"/>
    <w:pPr>
      <w:spacing w:after="100" w:line="360" w:lineRule="auto"/>
      <w:ind w:left="480"/>
    </w:pPr>
    <w:rPr>
      <w:rFonts w:ascii="Arial" w:eastAsia="Calibri" w:hAnsi="Arial"/>
      <w:szCs w:val="22"/>
      <w:lang w:eastAsia="en-US"/>
    </w:rPr>
  </w:style>
  <w:style w:type="character" w:styleId="Strong">
    <w:name w:val="Strong"/>
    <w:basedOn w:val="DefaultParagraphFont"/>
    <w:uiPriority w:val="22"/>
    <w:qFormat/>
    <w:rsid w:val="00495A8C"/>
    <w:rPr>
      <w:b/>
      <w:bCs/>
    </w:rPr>
  </w:style>
  <w:style w:type="table" w:styleId="ListTable1Light">
    <w:name w:val="List Table 1 Light"/>
    <w:basedOn w:val="TableNormal"/>
    <w:uiPriority w:val="46"/>
    <w:rsid w:val="00495A8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F72495"/>
    <w:rPr>
      <w:color w:val="605E5C"/>
      <w:shd w:val="clear" w:color="auto" w:fill="E1DFDD"/>
    </w:rPr>
  </w:style>
  <w:style w:type="character" w:customStyle="1" w:styleId="wordanimatingyu34g11">
    <w:name w:val="_wordanimating_yu34g_11"/>
    <w:basedOn w:val="DefaultParagraphFont"/>
    <w:rsid w:val="00184263"/>
  </w:style>
  <w:style w:type="paragraph" w:styleId="Title">
    <w:name w:val="Title"/>
    <w:basedOn w:val="Normal"/>
    <w:next w:val="Normal"/>
    <w:link w:val="TitleChar"/>
    <w:uiPriority w:val="10"/>
    <w:qFormat/>
    <w:rsid w:val="00F7711C"/>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F7711C"/>
    <w:rPr>
      <w:rFonts w:asciiTheme="majorHAnsi" w:eastAsiaTheme="majorEastAsia" w:hAnsiTheme="majorHAnsi" w:cstheme="majorBidi"/>
      <w:spacing w:val="-10"/>
      <w:kern w:val="28"/>
      <w:sz w:val="56"/>
      <w:szCs w:val="56"/>
    </w:rPr>
  </w:style>
  <w:style w:type="paragraph" w:customStyle="1" w:styleId="p1">
    <w:name w:val="p1"/>
    <w:basedOn w:val="Normal"/>
    <w:rsid w:val="00F072E6"/>
    <w:rPr>
      <w:rFonts w:ascii="Helvetica" w:hAnsi="Helvetica"/>
      <w:color w:val="000000"/>
      <w:sz w:val="17"/>
      <w:szCs w:val="17"/>
    </w:rPr>
  </w:style>
  <w:style w:type="paragraph" w:customStyle="1" w:styleId="z1qcye">
    <w:name w:val="z1qcye"/>
    <w:basedOn w:val="Normal"/>
    <w:rsid w:val="00773DFA"/>
    <w:pPr>
      <w:spacing w:before="100" w:beforeAutospacing="1" w:after="100" w:afterAutospacing="1"/>
    </w:pPr>
  </w:style>
  <w:style w:type="character" w:customStyle="1" w:styleId="inqyif">
    <w:name w:val="inqyif"/>
    <w:basedOn w:val="DefaultParagraphFont"/>
    <w:rsid w:val="00773DFA"/>
  </w:style>
  <w:style w:type="paragraph" w:customStyle="1" w:styleId="font-claude-response-body">
    <w:name w:val="font-claude-response-body"/>
    <w:basedOn w:val="Normal"/>
    <w:rsid w:val="00F1066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191853">
      <w:bodyDiv w:val="1"/>
      <w:marLeft w:val="0"/>
      <w:marRight w:val="0"/>
      <w:marTop w:val="0"/>
      <w:marBottom w:val="0"/>
      <w:divBdr>
        <w:top w:val="none" w:sz="0" w:space="0" w:color="auto"/>
        <w:left w:val="none" w:sz="0" w:space="0" w:color="auto"/>
        <w:bottom w:val="none" w:sz="0" w:space="0" w:color="auto"/>
        <w:right w:val="none" w:sz="0" w:space="0" w:color="auto"/>
      </w:divBdr>
      <w:divsChild>
        <w:div w:id="232929090">
          <w:marLeft w:val="0"/>
          <w:marRight w:val="0"/>
          <w:marTop w:val="0"/>
          <w:marBottom w:val="0"/>
          <w:divBdr>
            <w:top w:val="none" w:sz="0" w:space="0" w:color="auto"/>
            <w:left w:val="none" w:sz="0" w:space="0" w:color="auto"/>
            <w:bottom w:val="none" w:sz="0" w:space="0" w:color="auto"/>
            <w:right w:val="none" w:sz="0" w:space="0" w:color="auto"/>
          </w:divBdr>
        </w:div>
      </w:divsChild>
    </w:div>
    <w:div w:id="14696740">
      <w:bodyDiv w:val="1"/>
      <w:marLeft w:val="0"/>
      <w:marRight w:val="0"/>
      <w:marTop w:val="0"/>
      <w:marBottom w:val="0"/>
      <w:divBdr>
        <w:top w:val="none" w:sz="0" w:space="0" w:color="auto"/>
        <w:left w:val="none" w:sz="0" w:space="0" w:color="auto"/>
        <w:bottom w:val="none" w:sz="0" w:space="0" w:color="auto"/>
        <w:right w:val="none" w:sz="0" w:space="0" w:color="auto"/>
      </w:divBdr>
    </w:div>
    <w:div w:id="23293119">
      <w:bodyDiv w:val="1"/>
      <w:marLeft w:val="0"/>
      <w:marRight w:val="0"/>
      <w:marTop w:val="0"/>
      <w:marBottom w:val="0"/>
      <w:divBdr>
        <w:top w:val="none" w:sz="0" w:space="0" w:color="auto"/>
        <w:left w:val="none" w:sz="0" w:space="0" w:color="auto"/>
        <w:bottom w:val="none" w:sz="0" w:space="0" w:color="auto"/>
        <w:right w:val="none" w:sz="0" w:space="0" w:color="auto"/>
      </w:divBdr>
    </w:div>
    <w:div w:id="24451367">
      <w:bodyDiv w:val="1"/>
      <w:marLeft w:val="0"/>
      <w:marRight w:val="0"/>
      <w:marTop w:val="0"/>
      <w:marBottom w:val="0"/>
      <w:divBdr>
        <w:top w:val="none" w:sz="0" w:space="0" w:color="auto"/>
        <w:left w:val="none" w:sz="0" w:space="0" w:color="auto"/>
        <w:bottom w:val="none" w:sz="0" w:space="0" w:color="auto"/>
        <w:right w:val="none" w:sz="0" w:space="0" w:color="auto"/>
      </w:divBdr>
    </w:div>
    <w:div w:id="27225681">
      <w:bodyDiv w:val="1"/>
      <w:marLeft w:val="0"/>
      <w:marRight w:val="0"/>
      <w:marTop w:val="0"/>
      <w:marBottom w:val="0"/>
      <w:divBdr>
        <w:top w:val="none" w:sz="0" w:space="0" w:color="auto"/>
        <w:left w:val="none" w:sz="0" w:space="0" w:color="auto"/>
        <w:bottom w:val="none" w:sz="0" w:space="0" w:color="auto"/>
        <w:right w:val="none" w:sz="0" w:space="0" w:color="auto"/>
      </w:divBdr>
    </w:div>
    <w:div w:id="29427918">
      <w:bodyDiv w:val="1"/>
      <w:marLeft w:val="0"/>
      <w:marRight w:val="0"/>
      <w:marTop w:val="0"/>
      <w:marBottom w:val="0"/>
      <w:divBdr>
        <w:top w:val="none" w:sz="0" w:space="0" w:color="auto"/>
        <w:left w:val="none" w:sz="0" w:space="0" w:color="auto"/>
        <w:bottom w:val="none" w:sz="0" w:space="0" w:color="auto"/>
        <w:right w:val="none" w:sz="0" w:space="0" w:color="auto"/>
      </w:divBdr>
    </w:div>
    <w:div w:id="31657668">
      <w:bodyDiv w:val="1"/>
      <w:marLeft w:val="0"/>
      <w:marRight w:val="0"/>
      <w:marTop w:val="0"/>
      <w:marBottom w:val="0"/>
      <w:divBdr>
        <w:top w:val="none" w:sz="0" w:space="0" w:color="auto"/>
        <w:left w:val="none" w:sz="0" w:space="0" w:color="auto"/>
        <w:bottom w:val="none" w:sz="0" w:space="0" w:color="auto"/>
        <w:right w:val="none" w:sz="0" w:space="0" w:color="auto"/>
      </w:divBdr>
    </w:div>
    <w:div w:id="37779967">
      <w:bodyDiv w:val="1"/>
      <w:marLeft w:val="0"/>
      <w:marRight w:val="0"/>
      <w:marTop w:val="0"/>
      <w:marBottom w:val="0"/>
      <w:divBdr>
        <w:top w:val="none" w:sz="0" w:space="0" w:color="auto"/>
        <w:left w:val="none" w:sz="0" w:space="0" w:color="auto"/>
        <w:bottom w:val="none" w:sz="0" w:space="0" w:color="auto"/>
        <w:right w:val="none" w:sz="0" w:space="0" w:color="auto"/>
      </w:divBdr>
    </w:div>
    <w:div w:id="49691414">
      <w:bodyDiv w:val="1"/>
      <w:marLeft w:val="0"/>
      <w:marRight w:val="0"/>
      <w:marTop w:val="0"/>
      <w:marBottom w:val="0"/>
      <w:divBdr>
        <w:top w:val="none" w:sz="0" w:space="0" w:color="auto"/>
        <w:left w:val="none" w:sz="0" w:space="0" w:color="auto"/>
        <w:bottom w:val="none" w:sz="0" w:space="0" w:color="auto"/>
        <w:right w:val="none" w:sz="0" w:space="0" w:color="auto"/>
      </w:divBdr>
    </w:div>
    <w:div w:id="52971283">
      <w:bodyDiv w:val="1"/>
      <w:marLeft w:val="0"/>
      <w:marRight w:val="0"/>
      <w:marTop w:val="0"/>
      <w:marBottom w:val="0"/>
      <w:divBdr>
        <w:top w:val="none" w:sz="0" w:space="0" w:color="auto"/>
        <w:left w:val="none" w:sz="0" w:space="0" w:color="auto"/>
        <w:bottom w:val="none" w:sz="0" w:space="0" w:color="auto"/>
        <w:right w:val="none" w:sz="0" w:space="0" w:color="auto"/>
      </w:divBdr>
      <w:divsChild>
        <w:div w:id="1142192253">
          <w:marLeft w:val="-720"/>
          <w:marRight w:val="0"/>
          <w:marTop w:val="0"/>
          <w:marBottom w:val="0"/>
          <w:divBdr>
            <w:top w:val="none" w:sz="0" w:space="0" w:color="auto"/>
            <w:left w:val="none" w:sz="0" w:space="0" w:color="auto"/>
            <w:bottom w:val="none" w:sz="0" w:space="0" w:color="auto"/>
            <w:right w:val="none" w:sz="0" w:space="0" w:color="auto"/>
          </w:divBdr>
        </w:div>
      </w:divsChild>
    </w:div>
    <w:div w:id="74523456">
      <w:bodyDiv w:val="1"/>
      <w:marLeft w:val="0"/>
      <w:marRight w:val="0"/>
      <w:marTop w:val="0"/>
      <w:marBottom w:val="0"/>
      <w:divBdr>
        <w:top w:val="none" w:sz="0" w:space="0" w:color="auto"/>
        <w:left w:val="none" w:sz="0" w:space="0" w:color="auto"/>
        <w:bottom w:val="none" w:sz="0" w:space="0" w:color="auto"/>
        <w:right w:val="none" w:sz="0" w:space="0" w:color="auto"/>
      </w:divBdr>
      <w:divsChild>
        <w:div w:id="1826966256">
          <w:marLeft w:val="0"/>
          <w:marRight w:val="0"/>
          <w:marTop w:val="0"/>
          <w:marBottom w:val="0"/>
          <w:divBdr>
            <w:top w:val="none" w:sz="0" w:space="0" w:color="auto"/>
            <w:left w:val="none" w:sz="0" w:space="0" w:color="auto"/>
            <w:bottom w:val="none" w:sz="0" w:space="0" w:color="auto"/>
            <w:right w:val="none" w:sz="0" w:space="0" w:color="auto"/>
          </w:divBdr>
          <w:divsChild>
            <w:div w:id="15256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5642">
      <w:bodyDiv w:val="1"/>
      <w:marLeft w:val="0"/>
      <w:marRight w:val="0"/>
      <w:marTop w:val="0"/>
      <w:marBottom w:val="0"/>
      <w:divBdr>
        <w:top w:val="none" w:sz="0" w:space="0" w:color="auto"/>
        <w:left w:val="none" w:sz="0" w:space="0" w:color="auto"/>
        <w:bottom w:val="none" w:sz="0" w:space="0" w:color="auto"/>
        <w:right w:val="none" w:sz="0" w:space="0" w:color="auto"/>
      </w:divBdr>
    </w:div>
    <w:div w:id="94524754">
      <w:bodyDiv w:val="1"/>
      <w:marLeft w:val="0"/>
      <w:marRight w:val="0"/>
      <w:marTop w:val="0"/>
      <w:marBottom w:val="0"/>
      <w:divBdr>
        <w:top w:val="none" w:sz="0" w:space="0" w:color="auto"/>
        <w:left w:val="none" w:sz="0" w:space="0" w:color="auto"/>
        <w:bottom w:val="none" w:sz="0" w:space="0" w:color="auto"/>
        <w:right w:val="none" w:sz="0" w:space="0" w:color="auto"/>
      </w:divBdr>
    </w:div>
    <w:div w:id="104929084">
      <w:bodyDiv w:val="1"/>
      <w:marLeft w:val="0"/>
      <w:marRight w:val="0"/>
      <w:marTop w:val="0"/>
      <w:marBottom w:val="0"/>
      <w:divBdr>
        <w:top w:val="none" w:sz="0" w:space="0" w:color="auto"/>
        <w:left w:val="none" w:sz="0" w:space="0" w:color="auto"/>
        <w:bottom w:val="none" w:sz="0" w:space="0" w:color="auto"/>
        <w:right w:val="none" w:sz="0" w:space="0" w:color="auto"/>
      </w:divBdr>
    </w:div>
    <w:div w:id="118037028">
      <w:bodyDiv w:val="1"/>
      <w:marLeft w:val="0"/>
      <w:marRight w:val="0"/>
      <w:marTop w:val="0"/>
      <w:marBottom w:val="0"/>
      <w:divBdr>
        <w:top w:val="none" w:sz="0" w:space="0" w:color="auto"/>
        <w:left w:val="none" w:sz="0" w:space="0" w:color="auto"/>
        <w:bottom w:val="none" w:sz="0" w:space="0" w:color="auto"/>
        <w:right w:val="none" w:sz="0" w:space="0" w:color="auto"/>
      </w:divBdr>
    </w:div>
    <w:div w:id="145174094">
      <w:bodyDiv w:val="1"/>
      <w:marLeft w:val="0"/>
      <w:marRight w:val="0"/>
      <w:marTop w:val="0"/>
      <w:marBottom w:val="0"/>
      <w:divBdr>
        <w:top w:val="none" w:sz="0" w:space="0" w:color="auto"/>
        <w:left w:val="none" w:sz="0" w:space="0" w:color="auto"/>
        <w:bottom w:val="none" w:sz="0" w:space="0" w:color="auto"/>
        <w:right w:val="none" w:sz="0" w:space="0" w:color="auto"/>
      </w:divBdr>
    </w:div>
    <w:div w:id="146240167">
      <w:bodyDiv w:val="1"/>
      <w:marLeft w:val="0"/>
      <w:marRight w:val="0"/>
      <w:marTop w:val="0"/>
      <w:marBottom w:val="0"/>
      <w:divBdr>
        <w:top w:val="none" w:sz="0" w:space="0" w:color="auto"/>
        <w:left w:val="none" w:sz="0" w:space="0" w:color="auto"/>
        <w:bottom w:val="none" w:sz="0" w:space="0" w:color="auto"/>
        <w:right w:val="none" w:sz="0" w:space="0" w:color="auto"/>
      </w:divBdr>
      <w:divsChild>
        <w:div w:id="1459375288">
          <w:marLeft w:val="0"/>
          <w:marRight w:val="0"/>
          <w:marTop w:val="0"/>
          <w:marBottom w:val="0"/>
          <w:divBdr>
            <w:top w:val="none" w:sz="0" w:space="0" w:color="auto"/>
            <w:left w:val="none" w:sz="0" w:space="0" w:color="auto"/>
            <w:bottom w:val="none" w:sz="0" w:space="0" w:color="auto"/>
            <w:right w:val="none" w:sz="0" w:space="0" w:color="auto"/>
          </w:divBdr>
        </w:div>
        <w:div w:id="221866216">
          <w:marLeft w:val="0"/>
          <w:marRight w:val="0"/>
          <w:marTop w:val="0"/>
          <w:marBottom w:val="0"/>
          <w:divBdr>
            <w:top w:val="none" w:sz="0" w:space="0" w:color="auto"/>
            <w:left w:val="none" w:sz="0" w:space="0" w:color="auto"/>
            <w:bottom w:val="none" w:sz="0" w:space="0" w:color="auto"/>
            <w:right w:val="none" w:sz="0" w:space="0" w:color="auto"/>
          </w:divBdr>
        </w:div>
        <w:div w:id="892472104">
          <w:marLeft w:val="0"/>
          <w:marRight w:val="0"/>
          <w:marTop w:val="0"/>
          <w:marBottom w:val="0"/>
          <w:divBdr>
            <w:top w:val="none" w:sz="0" w:space="0" w:color="auto"/>
            <w:left w:val="none" w:sz="0" w:space="0" w:color="auto"/>
            <w:bottom w:val="none" w:sz="0" w:space="0" w:color="auto"/>
            <w:right w:val="none" w:sz="0" w:space="0" w:color="auto"/>
          </w:divBdr>
        </w:div>
      </w:divsChild>
    </w:div>
    <w:div w:id="152068493">
      <w:bodyDiv w:val="1"/>
      <w:marLeft w:val="0"/>
      <w:marRight w:val="0"/>
      <w:marTop w:val="0"/>
      <w:marBottom w:val="0"/>
      <w:divBdr>
        <w:top w:val="none" w:sz="0" w:space="0" w:color="auto"/>
        <w:left w:val="none" w:sz="0" w:space="0" w:color="auto"/>
        <w:bottom w:val="none" w:sz="0" w:space="0" w:color="auto"/>
        <w:right w:val="none" w:sz="0" w:space="0" w:color="auto"/>
      </w:divBdr>
    </w:div>
    <w:div w:id="168184835">
      <w:bodyDiv w:val="1"/>
      <w:marLeft w:val="0"/>
      <w:marRight w:val="0"/>
      <w:marTop w:val="0"/>
      <w:marBottom w:val="0"/>
      <w:divBdr>
        <w:top w:val="none" w:sz="0" w:space="0" w:color="auto"/>
        <w:left w:val="none" w:sz="0" w:space="0" w:color="auto"/>
        <w:bottom w:val="none" w:sz="0" w:space="0" w:color="auto"/>
        <w:right w:val="none" w:sz="0" w:space="0" w:color="auto"/>
      </w:divBdr>
    </w:div>
    <w:div w:id="176046661">
      <w:bodyDiv w:val="1"/>
      <w:marLeft w:val="0"/>
      <w:marRight w:val="0"/>
      <w:marTop w:val="0"/>
      <w:marBottom w:val="0"/>
      <w:divBdr>
        <w:top w:val="none" w:sz="0" w:space="0" w:color="auto"/>
        <w:left w:val="none" w:sz="0" w:space="0" w:color="auto"/>
        <w:bottom w:val="none" w:sz="0" w:space="0" w:color="auto"/>
        <w:right w:val="none" w:sz="0" w:space="0" w:color="auto"/>
      </w:divBdr>
      <w:divsChild>
        <w:div w:id="1940259620">
          <w:marLeft w:val="-720"/>
          <w:marRight w:val="0"/>
          <w:marTop w:val="0"/>
          <w:marBottom w:val="0"/>
          <w:divBdr>
            <w:top w:val="none" w:sz="0" w:space="0" w:color="auto"/>
            <w:left w:val="none" w:sz="0" w:space="0" w:color="auto"/>
            <w:bottom w:val="none" w:sz="0" w:space="0" w:color="auto"/>
            <w:right w:val="none" w:sz="0" w:space="0" w:color="auto"/>
          </w:divBdr>
        </w:div>
      </w:divsChild>
    </w:div>
    <w:div w:id="178810941">
      <w:bodyDiv w:val="1"/>
      <w:marLeft w:val="0"/>
      <w:marRight w:val="0"/>
      <w:marTop w:val="0"/>
      <w:marBottom w:val="0"/>
      <w:divBdr>
        <w:top w:val="none" w:sz="0" w:space="0" w:color="auto"/>
        <w:left w:val="none" w:sz="0" w:space="0" w:color="auto"/>
        <w:bottom w:val="none" w:sz="0" w:space="0" w:color="auto"/>
        <w:right w:val="none" w:sz="0" w:space="0" w:color="auto"/>
      </w:divBdr>
    </w:div>
    <w:div w:id="186911721">
      <w:bodyDiv w:val="1"/>
      <w:marLeft w:val="0"/>
      <w:marRight w:val="0"/>
      <w:marTop w:val="0"/>
      <w:marBottom w:val="0"/>
      <w:divBdr>
        <w:top w:val="none" w:sz="0" w:space="0" w:color="auto"/>
        <w:left w:val="none" w:sz="0" w:space="0" w:color="auto"/>
        <w:bottom w:val="none" w:sz="0" w:space="0" w:color="auto"/>
        <w:right w:val="none" w:sz="0" w:space="0" w:color="auto"/>
      </w:divBdr>
    </w:div>
    <w:div w:id="189684578">
      <w:bodyDiv w:val="1"/>
      <w:marLeft w:val="0"/>
      <w:marRight w:val="0"/>
      <w:marTop w:val="0"/>
      <w:marBottom w:val="0"/>
      <w:divBdr>
        <w:top w:val="none" w:sz="0" w:space="0" w:color="auto"/>
        <w:left w:val="none" w:sz="0" w:space="0" w:color="auto"/>
        <w:bottom w:val="none" w:sz="0" w:space="0" w:color="auto"/>
        <w:right w:val="none" w:sz="0" w:space="0" w:color="auto"/>
      </w:divBdr>
    </w:div>
    <w:div w:id="207685353">
      <w:bodyDiv w:val="1"/>
      <w:marLeft w:val="0"/>
      <w:marRight w:val="0"/>
      <w:marTop w:val="0"/>
      <w:marBottom w:val="0"/>
      <w:divBdr>
        <w:top w:val="none" w:sz="0" w:space="0" w:color="auto"/>
        <w:left w:val="none" w:sz="0" w:space="0" w:color="auto"/>
        <w:bottom w:val="none" w:sz="0" w:space="0" w:color="auto"/>
        <w:right w:val="none" w:sz="0" w:space="0" w:color="auto"/>
      </w:divBdr>
    </w:div>
    <w:div w:id="208961409">
      <w:bodyDiv w:val="1"/>
      <w:marLeft w:val="0"/>
      <w:marRight w:val="0"/>
      <w:marTop w:val="0"/>
      <w:marBottom w:val="0"/>
      <w:divBdr>
        <w:top w:val="none" w:sz="0" w:space="0" w:color="auto"/>
        <w:left w:val="none" w:sz="0" w:space="0" w:color="auto"/>
        <w:bottom w:val="none" w:sz="0" w:space="0" w:color="auto"/>
        <w:right w:val="none" w:sz="0" w:space="0" w:color="auto"/>
      </w:divBdr>
    </w:div>
    <w:div w:id="215968865">
      <w:bodyDiv w:val="1"/>
      <w:marLeft w:val="0"/>
      <w:marRight w:val="0"/>
      <w:marTop w:val="0"/>
      <w:marBottom w:val="0"/>
      <w:divBdr>
        <w:top w:val="none" w:sz="0" w:space="0" w:color="auto"/>
        <w:left w:val="none" w:sz="0" w:space="0" w:color="auto"/>
        <w:bottom w:val="none" w:sz="0" w:space="0" w:color="auto"/>
        <w:right w:val="none" w:sz="0" w:space="0" w:color="auto"/>
      </w:divBdr>
    </w:div>
    <w:div w:id="228730222">
      <w:bodyDiv w:val="1"/>
      <w:marLeft w:val="0"/>
      <w:marRight w:val="0"/>
      <w:marTop w:val="0"/>
      <w:marBottom w:val="0"/>
      <w:divBdr>
        <w:top w:val="none" w:sz="0" w:space="0" w:color="auto"/>
        <w:left w:val="none" w:sz="0" w:space="0" w:color="auto"/>
        <w:bottom w:val="none" w:sz="0" w:space="0" w:color="auto"/>
        <w:right w:val="none" w:sz="0" w:space="0" w:color="auto"/>
      </w:divBdr>
    </w:div>
    <w:div w:id="244264598">
      <w:bodyDiv w:val="1"/>
      <w:marLeft w:val="0"/>
      <w:marRight w:val="0"/>
      <w:marTop w:val="0"/>
      <w:marBottom w:val="0"/>
      <w:divBdr>
        <w:top w:val="none" w:sz="0" w:space="0" w:color="auto"/>
        <w:left w:val="none" w:sz="0" w:space="0" w:color="auto"/>
        <w:bottom w:val="none" w:sz="0" w:space="0" w:color="auto"/>
        <w:right w:val="none" w:sz="0" w:space="0" w:color="auto"/>
      </w:divBdr>
    </w:div>
    <w:div w:id="246154486">
      <w:bodyDiv w:val="1"/>
      <w:marLeft w:val="0"/>
      <w:marRight w:val="0"/>
      <w:marTop w:val="0"/>
      <w:marBottom w:val="0"/>
      <w:divBdr>
        <w:top w:val="none" w:sz="0" w:space="0" w:color="auto"/>
        <w:left w:val="none" w:sz="0" w:space="0" w:color="auto"/>
        <w:bottom w:val="none" w:sz="0" w:space="0" w:color="auto"/>
        <w:right w:val="none" w:sz="0" w:space="0" w:color="auto"/>
      </w:divBdr>
    </w:div>
    <w:div w:id="269821131">
      <w:bodyDiv w:val="1"/>
      <w:marLeft w:val="0"/>
      <w:marRight w:val="0"/>
      <w:marTop w:val="0"/>
      <w:marBottom w:val="0"/>
      <w:divBdr>
        <w:top w:val="none" w:sz="0" w:space="0" w:color="auto"/>
        <w:left w:val="none" w:sz="0" w:space="0" w:color="auto"/>
        <w:bottom w:val="none" w:sz="0" w:space="0" w:color="auto"/>
        <w:right w:val="none" w:sz="0" w:space="0" w:color="auto"/>
      </w:divBdr>
    </w:div>
    <w:div w:id="270669753">
      <w:bodyDiv w:val="1"/>
      <w:marLeft w:val="0"/>
      <w:marRight w:val="0"/>
      <w:marTop w:val="0"/>
      <w:marBottom w:val="0"/>
      <w:divBdr>
        <w:top w:val="none" w:sz="0" w:space="0" w:color="auto"/>
        <w:left w:val="none" w:sz="0" w:space="0" w:color="auto"/>
        <w:bottom w:val="none" w:sz="0" w:space="0" w:color="auto"/>
        <w:right w:val="none" w:sz="0" w:space="0" w:color="auto"/>
      </w:divBdr>
      <w:divsChild>
        <w:div w:id="245237981">
          <w:marLeft w:val="0"/>
          <w:marRight w:val="0"/>
          <w:marTop w:val="120"/>
          <w:marBottom w:val="0"/>
          <w:divBdr>
            <w:top w:val="none" w:sz="0" w:space="0" w:color="auto"/>
            <w:left w:val="none" w:sz="0" w:space="0" w:color="auto"/>
            <w:bottom w:val="none" w:sz="0" w:space="0" w:color="auto"/>
            <w:right w:val="none" w:sz="0" w:space="0" w:color="auto"/>
          </w:divBdr>
          <w:divsChild>
            <w:div w:id="12720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16948">
      <w:bodyDiv w:val="1"/>
      <w:marLeft w:val="0"/>
      <w:marRight w:val="0"/>
      <w:marTop w:val="0"/>
      <w:marBottom w:val="0"/>
      <w:divBdr>
        <w:top w:val="none" w:sz="0" w:space="0" w:color="auto"/>
        <w:left w:val="none" w:sz="0" w:space="0" w:color="auto"/>
        <w:bottom w:val="none" w:sz="0" w:space="0" w:color="auto"/>
        <w:right w:val="none" w:sz="0" w:space="0" w:color="auto"/>
      </w:divBdr>
    </w:div>
    <w:div w:id="287854961">
      <w:bodyDiv w:val="1"/>
      <w:marLeft w:val="0"/>
      <w:marRight w:val="0"/>
      <w:marTop w:val="0"/>
      <w:marBottom w:val="0"/>
      <w:divBdr>
        <w:top w:val="none" w:sz="0" w:space="0" w:color="auto"/>
        <w:left w:val="none" w:sz="0" w:space="0" w:color="auto"/>
        <w:bottom w:val="none" w:sz="0" w:space="0" w:color="auto"/>
        <w:right w:val="none" w:sz="0" w:space="0" w:color="auto"/>
      </w:divBdr>
    </w:div>
    <w:div w:id="293021095">
      <w:bodyDiv w:val="1"/>
      <w:marLeft w:val="0"/>
      <w:marRight w:val="0"/>
      <w:marTop w:val="0"/>
      <w:marBottom w:val="0"/>
      <w:divBdr>
        <w:top w:val="none" w:sz="0" w:space="0" w:color="auto"/>
        <w:left w:val="none" w:sz="0" w:space="0" w:color="auto"/>
        <w:bottom w:val="none" w:sz="0" w:space="0" w:color="auto"/>
        <w:right w:val="none" w:sz="0" w:space="0" w:color="auto"/>
      </w:divBdr>
    </w:div>
    <w:div w:id="297225460">
      <w:bodyDiv w:val="1"/>
      <w:marLeft w:val="0"/>
      <w:marRight w:val="0"/>
      <w:marTop w:val="0"/>
      <w:marBottom w:val="0"/>
      <w:divBdr>
        <w:top w:val="none" w:sz="0" w:space="0" w:color="auto"/>
        <w:left w:val="none" w:sz="0" w:space="0" w:color="auto"/>
        <w:bottom w:val="none" w:sz="0" w:space="0" w:color="auto"/>
        <w:right w:val="none" w:sz="0" w:space="0" w:color="auto"/>
      </w:divBdr>
      <w:divsChild>
        <w:div w:id="1079254455">
          <w:marLeft w:val="0"/>
          <w:marRight w:val="0"/>
          <w:marTop w:val="0"/>
          <w:marBottom w:val="0"/>
          <w:divBdr>
            <w:top w:val="none" w:sz="0" w:space="0" w:color="auto"/>
            <w:left w:val="none" w:sz="0" w:space="0" w:color="auto"/>
            <w:bottom w:val="none" w:sz="0" w:space="0" w:color="auto"/>
            <w:right w:val="none" w:sz="0" w:space="0" w:color="auto"/>
          </w:divBdr>
        </w:div>
        <w:div w:id="817921435">
          <w:marLeft w:val="0"/>
          <w:marRight w:val="0"/>
          <w:marTop w:val="0"/>
          <w:marBottom w:val="0"/>
          <w:divBdr>
            <w:top w:val="none" w:sz="0" w:space="0" w:color="auto"/>
            <w:left w:val="none" w:sz="0" w:space="0" w:color="auto"/>
            <w:bottom w:val="none" w:sz="0" w:space="0" w:color="auto"/>
            <w:right w:val="none" w:sz="0" w:space="0" w:color="auto"/>
          </w:divBdr>
        </w:div>
        <w:div w:id="1230767482">
          <w:marLeft w:val="0"/>
          <w:marRight w:val="0"/>
          <w:marTop w:val="0"/>
          <w:marBottom w:val="0"/>
          <w:divBdr>
            <w:top w:val="none" w:sz="0" w:space="0" w:color="auto"/>
            <w:left w:val="none" w:sz="0" w:space="0" w:color="auto"/>
            <w:bottom w:val="none" w:sz="0" w:space="0" w:color="auto"/>
            <w:right w:val="none" w:sz="0" w:space="0" w:color="auto"/>
          </w:divBdr>
        </w:div>
      </w:divsChild>
    </w:div>
    <w:div w:id="298846122">
      <w:bodyDiv w:val="1"/>
      <w:marLeft w:val="0"/>
      <w:marRight w:val="0"/>
      <w:marTop w:val="0"/>
      <w:marBottom w:val="0"/>
      <w:divBdr>
        <w:top w:val="none" w:sz="0" w:space="0" w:color="auto"/>
        <w:left w:val="none" w:sz="0" w:space="0" w:color="auto"/>
        <w:bottom w:val="none" w:sz="0" w:space="0" w:color="auto"/>
        <w:right w:val="none" w:sz="0" w:space="0" w:color="auto"/>
      </w:divBdr>
    </w:div>
    <w:div w:id="304285063">
      <w:bodyDiv w:val="1"/>
      <w:marLeft w:val="0"/>
      <w:marRight w:val="0"/>
      <w:marTop w:val="0"/>
      <w:marBottom w:val="0"/>
      <w:divBdr>
        <w:top w:val="none" w:sz="0" w:space="0" w:color="auto"/>
        <w:left w:val="none" w:sz="0" w:space="0" w:color="auto"/>
        <w:bottom w:val="none" w:sz="0" w:space="0" w:color="auto"/>
        <w:right w:val="none" w:sz="0" w:space="0" w:color="auto"/>
      </w:divBdr>
    </w:div>
    <w:div w:id="307630976">
      <w:bodyDiv w:val="1"/>
      <w:marLeft w:val="0"/>
      <w:marRight w:val="0"/>
      <w:marTop w:val="0"/>
      <w:marBottom w:val="0"/>
      <w:divBdr>
        <w:top w:val="none" w:sz="0" w:space="0" w:color="auto"/>
        <w:left w:val="none" w:sz="0" w:space="0" w:color="auto"/>
        <w:bottom w:val="none" w:sz="0" w:space="0" w:color="auto"/>
        <w:right w:val="none" w:sz="0" w:space="0" w:color="auto"/>
      </w:divBdr>
    </w:div>
    <w:div w:id="327291146">
      <w:bodyDiv w:val="1"/>
      <w:marLeft w:val="0"/>
      <w:marRight w:val="0"/>
      <w:marTop w:val="0"/>
      <w:marBottom w:val="0"/>
      <w:divBdr>
        <w:top w:val="none" w:sz="0" w:space="0" w:color="auto"/>
        <w:left w:val="none" w:sz="0" w:space="0" w:color="auto"/>
        <w:bottom w:val="none" w:sz="0" w:space="0" w:color="auto"/>
        <w:right w:val="none" w:sz="0" w:space="0" w:color="auto"/>
      </w:divBdr>
    </w:div>
    <w:div w:id="330526951">
      <w:bodyDiv w:val="1"/>
      <w:marLeft w:val="0"/>
      <w:marRight w:val="0"/>
      <w:marTop w:val="0"/>
      <w:marBottom w:val="0"/>
      <w:divBdr>
        <w:top w:val="none" w:sz="0" w:space="0" w:color="auto"/>
        <w:left w:val="none" w:sz="0" w:space="0" w:color="auto"/>
        <w:bottom w:val="none" w:sz="0" w:space="0" w:color="auto"/>
        <w:right w:val="none" w:sz="0" w:space="0" w:color="auto"/>
      </w:divBdr>
    </w:div>
    <w:div w:id="363795072">
      <w:bodyDiv w:val="1"/>
      <w:marLeft w:val="0"/>
      <w:marRight w:val="0"/>
      <w:marTop w:val="0"/>
      <w:marBottom w:val="0"/>
      <w:divBdr>
        <w:top w:val="none" w:sz="0" w:space="0" w:color="auto"/>
        <w:left w:val="none" w:sz="0" w:space="0" w:color="auto"/>
        <w:bottom w:val="none" w:sz="0" w:space="0" w:color="auto"/>
        <w:right w:val="none" w:sz="0" w:space="0" w:color="auto"/>
      </w:divBdr>
    </w:div>
    <w:div w:id="364446641">
      <w:bodyDiv w:val="1"/>
      <w:marLeft w:val="0"/>
      <w:marRight w:val="0"/>
      <w:marTop w:val="0"/>
      <w:marBottom w:val="0"/>
      <w:divBdr>
        <w:top w:val="none" w:sz="0" w:space="0" w:color="auto"/>
        <w:left w:val="none" w:sz="0" w:space="0" w:color="auto"/>
        <w:bottom w:val="none" w:sz="0" w:space="0" w:color="auto"/>
        <w:right w:val="none" w:sz="0" w:space="0" w:color="auto"/>
      </w:divBdr>
    </w:div>
    <w:div w:id="377052835">
      <w:bodyDiv w:val="1"/>
      <w:marLeft w:val="0"/>
      <w:marRight w:val="0"/>
      <w:marTop w:val="0"/>
      <w:marBottom w:val="0"/>
      <w:divBdr>
        <w:top w:val="none" w:sz="0" w:space="0" w:color="auto"/>
        <w:left w:val="none" w:sz="0" w:space="0" w:color="auto"/>
        <w:bottom w:val="none" w:sz="0" w:space="0" w:color="auto"/>
        <w:right w:val="none" w:sz="0" w:space="0" w:color="auto"/>
      </w:divBdr>
    </w:div>
    <w:div w:id="381028548">
      <w:bodyDiv w:val="1"/>
      <w:marLeft w:val="0"/>
      <w:marRight w:val="0"/>
      <w:marTop w:val="0"/>
      <w:marBottom w:val="0"/>
      <w:divBdr>
        <w:top w:val="none" w:sz="0" w:space="0" w:color="auto"/>
        <w:left w:val="none" w:sz="0" w:space="0" w:color="auto"/>
        <w:bottom w:val="none" w:sz="0" w:space="0" w:color="auto"/>
        <w:right w:val="none" w:sz="0" w:space="0" w:color="auto"/>
      </w:divBdr>
    </w:div>
    <w:div w:id="381901212">
      <w:bodyDiv w:val="1"/>
      <w:marLeft w:val="0"/>
      <w:marRight w:val="0"/>
      <w:marTop w:val="0"/>
      <w:marBottom w:val="0"/>
      <w:divBdr>
        <w:top w:val="none" w:sz="0" w:space="0" w:color="auto"/>
        <w:left w:val="none" w:sz="0" w:space="0" w:color="auto"/>
        <w:bottom w:val="none" w:sz="0" w:space="0" w:color="auto"/>
        <w:right w:val="none" w:sz="0" w:space="0" w:color="auto"/>
      </w:divBdr>
    </w:div>
    <w:div w:id="396050862">
      <w:bodyDiv w:val="1"/>
      <w:marLeft w:val="0"/>
      <w:marRight w:val="0"/>
      <w:marTop w:val="0"/>
      <w:marBottom w:val="0"/>
      <w:divBdr>
        <w:top w:val="none" w:sz="0" w:space="0" w:color="auto"/>
        <w:left w:val="none" w:sz="0" w:space="0" w:color="auto"/>
        <w:bottom w:val="none" w:sz="0" w:space="0" w:color="auto"/>
        <w:right w:val="none" w:sz="0" w:space="0" w:color="auto"/>
      </w:divBdr>
    </w:div>
    <w:div w:id="398477775">
      <w:bodyDiv w:val="1"/>
      <w:marLeft w:val="0"/>
      <w:marRight w:val="0"/>
      <w:marTop w:val="0"/>
      <w:marBottom w:val="0"/>
      <w:divBdr>
        <w:top w:val="none" w:sz="0" w:space="0" w:color="auto"/>
        <w:left w:val="none" w:sz="0" w:space="0" w:color="auto"/>
        <w:bottom w:val="none" w:sz="0" w:space="0" w:color="auto"/>
        <w:right w:val="none" w:sz="0" w:space="0" w:color="auto"/>
      </w:divBdr>
      <w:divsChild>
        <w:div w:id="2142842217">
          <w:marLeft w:val="-720"/>
          <w:marRight w:val="0"/>
          <w:marTop w:val="0"/>
          <w:marBottom w:val="0"/>
          <w:divBdr>
            <w:top w:val="none" w:sz="0" w:space="0" w:color="auto"/>
            <w:left w:val="none" w:sz="0" w:space="0" w:color="auto"/>
            <w:bottom w:val="none" w:sz="0" w:space="0" w:color="auto"/>
            <w:right w:val="none" w:sz="0" w:space="0" w:color="auto"/>
          </w:divBdr>
        </w:div>
      </w:divsChild>
    </w:div>
    <w:div w:id="402214455">
      <w:bodyDiv w:val="1"/>
      <w:marLeft w:val="0"/>
      <w:marRight w:val="0"/>
      <w:marTop w:val="0"/>
      <w:marBottom w:val="0"/>
      <w:divBdr>
        <w:top w:val="none" w:sz="0" w:space="0" w:color="auto"/>
        <w:left w:val="none" w:sz="0" w:space="0" w:color="auto"/>
        <w:bottom w:val="none" w:sz="0" w:space="0" w:color="auto"/>
        <w:right w:val="none" w:sz="0" w:space="0" w:color="auto"/>
      </w:divBdr>
    </w:div>
    <w:div w:id="410085480">
      <w:bodyDiv w:val="1"/>
      <w:marLeft w:val="0"/>
      <w:marRight w:val="0"/>
      <w:marTop w:val="0"/>
      <w:marBottom w:val="0"/>
      <w:divBdr>
        <w:top w:val="none" w:sz="0" w:space="0" w:color="auto"/>
        <w:left w:val="none" w:sz="0" w:space="0" w:color="auto"/>
        <w:bottom w:val="none" w:sz="0" w:space="0" w:color="auto"/>
        <w:right w:val="none" w:sz="0" w:space="0" w:color="auto"/>
      </w:divBdr>
    </w:div>
    <w:div w:id="430706129">
      <w:bodyDiv w:val="1"/>
      <w:marLeft w:val="0"/>
      <w:marRight w:val="0"/>
      <w:marTop w:val="0"/>
      <w:marBottom w:val="0"/>
      <w:divBdr>
        <w:top w:val="none" w:sz="0" w:space="0" w:color="auto"/>
        <w:left w:val="none" w:sz="0" w:space="0" w:color="auto"/>
        <w:bottom w:val="none" w:sz="0" w:space="0" w:color="auto"/>
        <w:right w:val="none" w:sz="0" w:space="0" w:color="auto"/>
      </w:divBdr>
    </w:div>
    <w:div w:id="431097211">
      <w:bodyDiv w:val="1"/>
      <w:marLeft w:val="0"/>
      <w:marRight w:val="0"/>
      <w:marTop w:val="0"/>
      <w:marBottom w:val="0"/>
      <w:divBdr>
        <w:top w:val="none" w:sz="0" w:space="0" w:color="auto"/>
        <w:left w:val="none" w:sz="0" w:space="0" w:color="auto"/>
        <w:bottom w:val="none" w:sz="0" w:space="0" w:color="auto"/>
        <w:right w:val="none" w:sz="0" w:space="0" w:color="auto"/>
      </w:divBdr>
      <w:divsChild>
        <w:div w:id="620261859">
          <w:marLeft w:val="0"/>
          <w:marRight w:val="0"/>
          <w:marTop w:val="0"/>
          <w:marBottom w:val="0"/>
          <w:divBdr>
            <w:top w:val="none" w:sz="0" w:space="0" w:color="auto"/>
            <w:left w:val="none" w:sz="0" w:space="0" w:color="auto"/>
            <w:bottom w:val="none" w:sz="0" w:space="0" w:color="auto"/>
            <w:right w:val="none" w:sz="0" w:space="0" w:color="auto"/>
          </w:divBdr>
        </w:div>
        <w:div w:id="964232883">
          <w:marLeft w:val="0"/>
          <w:marRight w:val="0"/>
          <w:marTop w:val="0"/>
          <w:marBottom w:val="0"/>
          <w:divBdr>
            <w:top w:val="none" w:sz="0" w:space="0" w:color="auto"/>
            <w:left w:val="none" w:sz="0" w:space="0" w:color="auto"/>
            <w:bottom w:val="none" w:sz="0" w:space="0" w:color="auto"/>
            <w:right w:val="none" w:sz="0" w:space="0" w:color="auto"/>
          </w:divBdr>
        </w:div>
        <w:div w:id="1216890625">
          <w:marLeft w:val="0"/>
          <w:marRight w:val="0"/>
          <w:marTop w:val="0"/>
          <w:marBottom w:val="0"/>
          <w:divBdr>
            <w:top w:val="none" w:sz="0" w:space="0" w:color="auto"/>
            <w:left w:val="none" w:sz="0" w:space="0" w:color="auto"/>
            <w:bottom w:val="none" w:sz="0" w:space="0" w:color="auto"/>
            <w:right w:val="none" w:sz="0" w:space="0" w:color="auto"/>
          </w:divBdr>
        </w:div>
      </w:divsChild>
    </w:div>
    <w:div w:id="432550992">
      <w:bodyDiv w:val="1"/>
      <w:marLeft w:val="0"/>
      <w:marRight w:val="0"/>
      <w:marTop w:val="0"/>
      <w:marBottom w:val="0"/>
      <w:divBdr>
        <w:top w:val="none" w:sz="0" w:space="0" w:color="auto"/>
        <w:left w:val="none" w:sz="0" w:space="0" w:color="auto"/>
        <w:bottom w:val="none" w:sz="0" w:space="0" w:color="auto"/>
        <w:right w:val="none" w:sz="0" w:space="0" w:color="auto"/>
      </w:divBdr>
    </w:div>
    <w:div w:id="441611881">
      <w:bodyDiv w:val="1"/>
      <w:marLeft w:val="0"/>
      <w:marRight w:val="0"/>
      <w:marTop w:val="0"/>
      <w:marBottom w:val="0"/>
      <w:divBdr>
        <w:top w:val="none" w:sz="0" w:space="0" w:color="auto"/>
        <w:left w:val="none" w:sz="0" w:space="0" w:color="auto"/>
        <w:bottom w:val="none" w:sz="0" w:space="0" w:color="auto"/>
        <w:right w:val="none" w:sz="0" w:space="0" w:color="auto"/>
      </w:divBdr>
    </w:div>
    <w:div w:id="453182870">
      <w:bodyDiv w:val="1"/>
      <w:marLeft w:val="0"/>
      <w:marRight w:val="0"/>
      <w:marTop w:val="0"/>
      <w:marBottom w:val="0"/>
      <w:divBdr>
        <w:top w:val="none" w:sz="0" w:space="0" w:color="auto"/>
        <w:left w:val="none" w:sz="0" w:space="0" w:color="auto"/>
        <w:bottom w:val="none" w:sz="0" w:space="0" w:color="auto"/>
        <w:right w:val="none" w:sz="0" w:space="0" w:color="auto"/>
      </w:divBdr>
    </w:div>
    <w:div w:id="455299703">
      <w:bodyDiv w:val="1"/>
      <w:marLeft w:val="0"/>
      <w:marRight w:val="0"/>
      <w:marTop w:val="0"/>
      <w:marBottom w:val="0"/>
      <w:divBdr>
        <w:top w:val="none" w:sz="0" w:space="0" w:color="auto"/>
        <w:left w:val="none" w:sz="0" w:space="0" w:color="auto"/>
        <w:bottom w:val="none" w:sz="0" w:space="0" w:color="auto"/>
        <w:right w:val="none" w:sz="0" w:space="0" w:color="auto"/>
      </w:divBdr>
    </w:div>
    <w:div w:id="458181454">
      <w:bodyDiv w:val="1"/>
      <w:marLeft w:val="0"/>
      <w:marRight w:val="0"/>
      <w:marTop w:val="0"/>
      <w:marBottom w:val="0"/>
      <w:divBdr>
        <w:top w:val="none" w:sz="0" w:space="0" w:color="auto"/>
        <w:left w:val="none" w:sz="0" w:space="0" w:color="auto"/>
        <w:bottom w:val="none" w:sz="0" w:space="0" w:color="auto"/>
        <w:right w:val="none" w:sz="0" w:space="0" w:color="auto"/>
      </w:divBdr>
    </w:div>
    <w:div w:id="460878727">
      <w:bodyDiv w:val="1"/>
      <w:marLeft w:val="0"/>
      <w:marRight w:val="0"/>
      <w:marTop w:val="0"/>
      <w:marBottom w:val="0"/>
      <w:divBdr>
        <w:top w:val="none" w:sz="0" w:space="0" w:color="auto"/>
        <w:left w:val="none" w:sz="0" w:space="0" w:color="auto"/>
        <w:bottom w:val="none" w:sz="0" w:space="0" w:color="auto"/>
        <w:right w:val="none" w:sz="0" w:space="0" w:color="auto"/>
      </w:divBdr>
    </w:div>
    <w:div w:id="464008378">
      <w:bodyDiv w:val="1"/>
      <w:marLeft w:val="0"/>
      <w:marRight w:val="0"/>
      <w:marTop w:val="0"/>
      <w:marBottom w:val="0"/>
      <w:divBdr>
        <w:top w:val="none" w:sz="0" w:space="0" w:color="auto"/>
        <w:left w:val="none" w:sz="0" w:space="0" w:color="auto"/>
        <w:bottom w:val="none" w:sz="0" w:space="0" w:color="auto"/>
        <w:right w:val="none" w:sz="0" w:space="0" w:color="auto"/>
      </w:divBdr>
    </w:div>
    <w:div w:id="469372697">
      <w:bodyDiv w:val="1"/>
      <w:marLeft w:val="0"/>
      <w:marRight w:val="0"/>
      <w:marTop w:val="0"/>
      <w:marBottom w:val="0"/>
      <w:divBdr>
        <w:top w:val="none" w:sz="0" w:space="0" w:color="auto"/>
        <w:left w:val="none" w:sz="0" w:space="0" w:color="auto"/>
        <w:bottom w:val="none" w:sz="0" w:space="0" w:color="auto"/>
        <w:right w:val="none" w:sz="0" w:space="0" w:color="auto"/>
      </w:divBdr>
    </w:div>
    <w:div w:id="476650493">
      <w:bodyDiv w:val="1"/>
      <w:marLeft w:val="0"/>
      <w:marRight w:val="0"/>
      <w:marTop w:val="0"/>
      <w:marBottom w:val="0"/>
      <w:divBdr>
        <w:top w:val="none" w:sz="0" w:space="0" w:color="auto"/>
        <w:left w:val="none" w:sz="0" w:space="0" w:color="auto"/>
        <w:bottom w:val="none" w:sz="0" w:space="0" w:color="auto"/>
        <w:right w:val="none" w:sz="0" w:space="0" w:color="auto"/>
      </w:divBdr>
      <w:divsChild>
        <w:div w:id="1628123243">
          <w:marLeft w:val="-720"/>
          <w:marRight w:val="0"/>
          <w:marTop w:val="0"/>
          <w:marBottom w:val="0"/>
          <w:divBdr>
            <w:top w:val="none" w:sz="0" w:space="0" w:color="auto"/>
            <w:left w:val="none" w:sz="0" w:space="0" w:color="auto"/>
            <w:bottom w:val="none" w:sz="0" w:space="0" w:color="auto"/>
            <w:right w:val="none" w:sz="0" w:space="0" w:color="auto"/>
          </w:divBdr>
        </w:div>
      </w:divsChild>
    </w:div>
    <w:div w:id="478614948">
      <w:bodyDiv w:val="1"/>
      <w:marLeft w:val="0"/>
      <w:marRight w:val="0"/>
      <w:marTop w:val="0"/>
      <w:marBottom w:val="0"/>
      <w:divBdr>
        <w:top w:val="none" w:sz="0" w:space="0" w:color="auto"/>
        <w:left w:val="none" w:sz="0" w:space="0" w:color="auto"/>
        <w:bottom w:val="none" w:sz="0" w:space="0" w:color="auto"/>
        <w:right w:val="none" w:sz="0" w:space="0" w:color="auto"/>
      </w:divBdr>
    </w:div>
    <w:div w:id="494415827">
      <w:bodyDiv w:val="1"/>
      <w:marLeft w:val="0"/>
      <w:marRight w:val="0"/>
      <w:marTop w:val="0"/>
      <w:marBottom w:val="0"/>
      <w:divBdr>
        <w:top w:val="none" w:sz="0" w:space="0" w:color="auto"/>
        <w:left w:val="none" w:sz="0" w:space="0" w:color="auto"/>
        <w:bottom w:val="none" w:sz="0" w:space="0" w:color="auto"/>
        <w:right w:val="none" w:sz="0" w:space="0" w:color="auto"/>
      </w:divBdr>
    </w:div>
    <w:div w:id="501704552">
      <w:bodyDiv w:val="1"/>
      <w:marLeft w:val="0"/>
      <w:marRight w:val="0"/>
      <w:marTop w:val="0"/>
      <w:marBottom w:val="0"/>
      <w:divBdr>
        <w:top w:val="none" w:sz="0" w:space="0" w:color="auto"/>
        <w:left w:val="none" w:sz="0" w:space="0" w:color="auto"/>
        <w:bottom w:val="none" w:sz="0" w:space="0" w:color="auto"/>
        <w:right w:val="none" w:sz="0" w:space="0" w:color="auto"/>
      </w:divBdr>
    </w:div>
    <w:div w:id="507528345">
      <w:bodyDiv w:val="1"/>
      <w:marLeft w:val="0"/>
      <w:marRight w:val="0"/>
      <w:marTop w:val="0"/>
      <w:marBottom w:val="0"/>
      <w:divBdr>
        <w:top w:val="none" w:sz="0" w:space="0" w:color="auto"/>
        <w:left w:val="none" w:sz="0" w:space="0" w:color="auto"/>
        <w:bottom w:val="none" w:sz="0" w:space="0" w:color="auto"/>
        <w:right w:val="none" w:sz="0" w:space="0" w:color="auto"/>
      </w:divBdr>
    </w:div>
    <w:div w:id="508326571">
      <w:bodyDiv w:val="1"/>
      <w:marLeft w:val="0"/>
      <w:marRight w:val="0"/>
      <w:marTop w:val="0"/>
      <w:marBottom w:val="0"/>
      <w:divBdr>
        <w:top w:val="none" w:sz="0" w:space="0" w:color="auto"/>
        <w:left w:val="none" w:sz="0" w:space="0" w:color="auto"/>
        <w:bottom w:val="none" w:sz="0" w:space="0" w:color="auto"/>
        <w:right w:val="none" w:sz="0" w:space="0" w:color="auto"/>
      </w:divBdr>
    </w:div>
    <w:div w:id="528378209">
      <w:bodyDiv w:val="1"/>
      <w:marLeft w:val="0"/>
      <w:marRight w:val="0"/>
      <w:marTop w:val="0"/>
      <w:marBottom w:val="0"/>
      <w:divBdr>
        <w:top w:val="none" w:sz="0" w:space="0" w:color="auto"/>
        <w:left w:val="none" w:sz="0" w:space="0" w:color="auto"/>
        <w:bottom w:val="none" w:sz="0" w:space="0" w:color="auto"/>
        <w:right w:val="none" w:sz="0" w:space="0" w:color="auto"/>
      </w:divBdr>
    </w:div>
    <w:div w:id="530919780">
      <w:bodyDiv w:val="1"/>
      <w:marLeft w:val="0"/>
      <w:marRight w:val="0"/>
      <w:marTop w:val="0"/>
      <w:marBottom w:val="0"/>
      <w:divBdr>
        <w:top w:val="none" w:sz="0" w:space="0" w:color="auto"/>
        <w:left w:val="none" w:sz="0" w:space="0" w:color="auto"/>
        <w:bottom w:val="none" w:sz="0" w:space="0" w:color="auto"/>
        <w:right w:val="none" w:sz="0" w:space="0" w:color="auto"/>
      </w:divBdr>
    </w:div>
    <w:div w:id="540628541">
      <w:bodyDiv w:val="1"/>
      <w:marLeft w:val="0"/>
      <w:marRight w:val="0"/>
      <w:marTop w:val="0"/>
      <w:marBottom w:val="0"/>
      <w:divBdr>
        <w:top w:val="none" w:sz="0" w:space="0" w:color="auto"/>
        <w:left w:val="none" w:sz="0" w:space="0" w:color="auto"/>
        <w:bottom w:val="none" w:sz="0" w:space="0" w:color="auto"/>
        <w:right w:val="none" w:sz="0" w:space="0" w:color="auto"/>
      </w:divBdr>
    </w:div>
    <w:div w:id="554124773">
      <w:bodyDiv w:val="1"/>
      <w:marLeft w:val="0"/>
      <w:marRight w:val="0"/>
      <w:marTop w:val="0"/>
      <w:marBottom w:val="0"/>
      <w:divBdr>
        <w:top w:val="none" w:sz="0" w:space="0" w:color="auto"/>
        <w:left w:val="none" w:sz="0" w:space="0" w:color="auto"/>
        <w:bottom w:val="none" w:sz="0" w:space="0" w:color="auto"/>
        <w:right w:val="none" w:sz="0" w:space="0" w:color="auto"/>
      </w:divBdr>
    </w:div>
    <w:div w:id="554242651">
      <w:bodyDiv w:val="1"/>
      <w:marLeft w:val="0"/>
      <w:marRight w:val="0"/>
      <w:marTop w:val="0"/>
      <w:marBottom w:val="0"/>
      <w:divBdr>
        <w:top w:val="none" w:sz="0" w:space="0" w:color="auto"/>
        <w:left w:val="none" w:sz="0" w:space="0" w:color="auto"/>
        <w:bottom w:val="none" w:sz="0" w:space="0" w:color="auto"/>
        <w:right w:val="none" w:sz="0" w:space="0" w:color="auto"/>
      </w:divBdr>
    </w:div>
    <w:div w:id="559944566">
      <w:bodyDiv w:val="1"/>
      <w:marLeft w:val="0"/>
      <w:marRight w:val="0"/>
      <w:marTop w:val="0"/>
      <w:marBottom w:val="0"/>
      <w:divBdr>
        <w:top w:val="none" w:sz="0" w:space="0" w:color="auto"/>
        <w:left w:val="none" w:sz="0" w:space="0" w:color="auto"/>
        <w:bottom w:val="none" w:sz="0" w:space="0" w:color="auto"/>
        <w:right w:val="none" w:sz="0" w:space="0" w:color="auto"/>
      </w:divBdr>
    </w:div>
    <w:div w:id="575438693">
      <w:bodyDiv w:val="1"/>
      <w:marLeft w:val="0"/>
      <w:marRight w:val="0"/>
      <w:marTop w:val="0"/>
      <w:marBottom w:val="0"/>
      <w:divBdr>
        <w:top w:val="none" w:sz="0" w:space="0" w:color="auto"/>
        <w:left w:val="none" w:sz="0" w:space="0" w:color="auto"/>
        <w:bottom w:val="none" w:sz="0" w:space="0" w:color="auto"/>
        <w:right w:val="none" w:sz="0" w:space="0" w:color="auto"/>
      </w:divBdr>
    </w:div>
    <w:div w:id="580791808">
      <w:bodyDiv w:val="1"/>
      <w:marLeft w:val="0"/>
      <w:marRight w:val="0"/>
      <w:marTop w:val="0"/>
      <w:marBottom w:val="0"/>
      <w:divBdr>
        <w:top w:val="none" w:sz="0" w:space="0" w:color="auto"/>
        <w:left w:val="none" w:sz="0" w:space="0" w:color="auto"/>
        <w:bottom w:val="none" w:sz="0" w:space="0" w:color="auto"/>
        <w:right w:val="none" w:sz="0" w:space="0" w:color="auto"/>
      </w:divBdr>
    </w:div>
    <w:div w:id="585385814">
      <w:bodyDiv w:val="1"/>
      <w:marLeft w:val="0"/>
      <w:marRight w:val="0"/>
      <w:marTop w:val="0"/>
      <w:marBottom w:val="0"/>
      <w:divBdr>
        <w:top w:val="none" w:sz="0" w:space="0" w:color="auto"/>
        <w:left w:val="none" w:sz="0" w:space="0" w:color="auto"/>
        <w:bottom w:val="none" w:sz="0" w:space="0" w:color="auto"/>
        <w:right w:val="none" w:sz="0" w:space="0" w:color="auto"/>
      </w:divBdr>
    </w:div>
    <w:div w:id="586698559">
      <w:bodyDiv w:val="1"/>
      <w:marLeft w:val="0"/>
      <w:marRight w:val="0"/>
      <w:marTop w:val="0"/>
      <w:marBottom w:val="0"/>
      <w:divBdr>
        <w:top w:val="none" w:sz="0" w:space="0" w:color="auto"/>
        <w:left w:val="none" w:sz="0" w:space="0" w:color="auto"/>
        <w:bottom w:val="none" w:sz="0" w:space="0" w:color="auto"/>
        <w:right w:val="none" w:sz="0" w:space="0" w:color="auto"/>
      </w:divBdr>
    </w:div>
    <w:div w:id="588731071">
      <w:bodyDiv w:val="1"/>
      <w:marLeft w:val="0"/>
      <w:marRight w:val="0"/>
      <w:marTop w:val="0"/>
      <w:marBottom w:val="0"/>
      <w:divBdr>
        <w:top w:val="none" w:sz="0" w:space="0" w:color="auto"/>
        <w:left w:val="none" w:sz="0" w:space="0" w:color="auto"/>
        <w:bottom w:val="none" w:sz="0" w:space="0" w:color="auto"/>
        <w:right w:val="none" w:sz="0" w:space="0" w:color="auto"/>
      </w:divBdr>
    </w:div>
    <w:div w:id="597106998">
      <w:bodyDiv w:val="1"/>
      <w:marLeft w:val="0"/>
      <w:marRight w:val="0"/>
      <w:marTop w:val="0"/>
      <w:marBottom w:val="0"/>
      <w:divBdr>
        <w:top w:val="none" w:sz="0" w:space="0" w:color="auto"/>
        <w:left w:val="none" w:sz="0" w:space="0" w:color="auto"/>
        <w:bottom w:val="none" w:sz="0" w:space="0" w:color="auto"/>
        <w:right w:val="none" w:sz="0" w:space="0" w:color="auto"/>
      </w:divBdr>
      <w:divsChild>
        <w:div w:id="1009524702">
          <w:marLeft w:val="-720"/>
          <w:marRight w:val="0"/>
          <w:marTop w:val="0"/>
          <w:marBottom w:val="0"/>
          <w:divBdr>
            <w:top w:val="none" w:sz="0" w:space="0" w:color="auto"/>
            <w:left w:val="none" w:sz="0" w:space="0" w:color="auto"/>
            <w:bottom w:val="none" w:sz="0" w:space="0" w:color="auto"/>
            <w:right w:val="none" w:sz="0" w:space="0" w:color="auto"/>
          </w:divBdr>
        </w:div>
      </w:divsChild>
    </w:div>
    <w:div w:id="606038005">
      <w:bodyDiv w:val="1"/>
      <w:marLeft w:val="0"/>
      <w:marRight w:val="0"/>
      <w:marTop w:val="0"/>
      <w:marBottom w:val="0"/>
      <w:divBdr>
        <w:top w:val="none" w:sz="0" w:space="0" w:color="auto"/>
        <w:left w:val="none" w:sz="0" w:space="0" w:color="auto"/>
        <w:bottom w:val="none" w:sz="0" w:space="0" w:color="auto"/>
        <w:right w:val="none" w:sz="0" w:space="0" w:color="auto"/>
      </w:divBdr>
    </w:div>
    <w:div w:id="632946843">
      <w:bodyDiv w:val="1"/>
      <w:marLeft w:val="0"/>
      <w:marRight w:val="0"/>
      <w:marTop w:val="0"/>
      <w:marBottom w:val="0"/>
      <w:divBdr>
        <w:top w:val="none" w:sz="0" w:space="0" w:color="auto"/>
        <w:left w:val="none" w:sz="0" w:space="0" w:color="auto"/>
        <w:bottom w:val="none" w:sz="0" w:space="0" w:color="auto"/>
        <w:right w:val="none" w:sz="0" w:space="0" w:color="auto"/>
      </w:divBdr>
    </w:div>
    <w:div w:id="639042080">
      <w:bodyDiv w:val="1"/>
      <w:marLeft w:val="0"/>
      <w:marRight w:val="0"/>
      <w:marTop w:val="0"/>
      <w:marBottom w:val="0"/>
      <w:divBdr>
        <w:top w:val="none" w:sz="0" w:space="0" w:color="auto"/>
        <w:left w:val="none" w:sz="0" w:space="0" w:color="auto"/>
        <w:bottom w:val="none" w:sz="0" w:space="0" w:color="auto"/>
        <w:right w:val="none" w:sz="0" w:space="0" w:color="auto"/>
      </w:divBdr>
    </w:div>
    <w:div w:id="654139315">
      <w:bodyDiv w:val="1"/>
      <w:marLeft w:val="0"/>
      <w:marRight w:val="0"/>
      <w:marTop w:val="0"/>
      <w:marBottom w:val="0"/>
      <w:divBdr>
        <w:top w:val="none" w:sz="0" w:space="0" w:color="auto"/>
        <w:left w:val="none" w:sz="0" w:space="0" w:color="auto"/>
        <w:bottom w:val="none" w:sz="0" w:space="0" w:color="auto"/>
        <w:right w:val="none" w:sz="0" w:space="0" w:color="auto"/>
      </w:divBdr>
    </w:div>
    <w:div w:id="663244967">
      <w:bodyDiv w:val="1"/>
      <w:marLeft w:val="0"/>
      <w:marRight w:val="0"/>
      <w:marTop w:val="0"/>
      <w:marBottom w:val="0"/>
      <w:divBdr>
        <w:top w:val="none" w:sz="0" w:space="0" w:color="auto"/>
        <w:left w:val="none" w:sz="0" w:space="0" w:color="auto"/>
        <w:bottom w:val="none" w:sz="0" w:space="0" w:color="auto"/>
        <w:right w:val="none" w:sz="0" w:space="0" w:color="auto"/>
      </w:divBdr>
    </w:div>
    <w:div w:id="690375753">
      <w:bodyDiv w:val="1"/>
      <w:marLeft w:val="0"/>
      <w:marRight w:val="0"/>
      <w:marTop w:val="0"/>
      <w:marBottom w:val="0"/>
      <w:divBdr>
        <w:top w:val="none" w:sz="0" w:space="0" w:color="auto"/>
        <w:left w:val="none" w:sz="0" w:space="0" w:color="auto"/>
        <w:bottom w:val="none" w:sz="0" w:space="0" w:color="auto"/>
        <w:right w:val="none" w:sz="0" w:space="0" w:color="auto"/>
      </w:divBdr>
    </w:div>
    <w:div w:id="691951976">
      <w:bodyDiv w:val="1"/>
      <w:marLeft w:val="0"/>
      <w:marRight w:val="0"/>
      <w:marTop w:val="0"/>
      <w:marBottom w:val="0"/>
      <w:divBdr>
        <w:top w:val="none" w:sz="0" w:space="0" w:color="auto"/>
        <w:left w:val="none" w:sz="0" w:space="0" w:color="auto"/>
        <w:bottom w:val="none" w:sz="0" w:space="0" w:color="auto"/>
        <w:right w:val="none" w:sz="0" w:space="0" w:color="auto"/>
      </w:divBdr>
    </w:div>
    <w:div w:id="699934101">
      <w:bodyDiv w:val="1"/>
      <w:marLeft w:val="0"/>
      <w:marRight w:val="0"/>
      <w:marTop w:val="0"/>
      <w:marBottom w:val="0"/>
      <w:divBdr>
        <w:top w:val="none" w:sz="0" w:space="0" w:color="auto"/>
        <w:left w:val="none" w:sz="0" w:space="0" w:color="auto"/>
        <w:bottom w:val="none" w:sz="0" w:space="0" w:color="auto"/>
        <w:right w:val="none" w:sz="0" w:space="0" w:color="auto"/>
      </w:divBdr>
    </w:div>
    <w:div w:id="705910053">
      <w:bodyDiv w:val="1"/>
      <w:marLeft w:val="0"/>
      <w:marRight w:val="0"/>
      <w:marTop w:val="0"/>
      <w:marBottom w:val="0"/>
      <w:divBdr>
        <w:top w:val="none" w:sz="0" w:space="0" w:color="auto"/>
        <w:left w:val="none" w:sz="0" w:space="0" w:color="auto"/>
        <w:bottom w:val="none" w:sz="0" w:space="0" w:color="auto"/>
        <w:right w:val="none" w:sz="0" w:space="0" w:color="auto"/>
      </w:divBdr>
    </w:div>
    <w:div w:id="711609708">
      <w:bodyDiv w:val="1"/>
      <w:marLeft w:val="0"/>
      <w:marRight w:val="0"/>
      <w:marTop w:val="0"/>
      <w:marBottom w:val="0"/>
      <w:divBdr>
        <w:top w:val="none" w:sz="0" w:space="0" w:color="auto"/>
        <w:left w:val="none" w:sz="0" w:space="0" w:color="auto"/>
        <w:bottom w:val="none" w:sz="0" w:space="0" w:color="auto"/>
        <w:right w:val="none" w:sz="0" w:space="0" w:color="auto"/>
      </w:divBdr>
    </w:div>
    <w:div w:id="719090913">
      <w:bodyDiv w:val="1"/>
      <w:marLeft w:val="0"/>
      <w:marRight w:val="0"/>
      <w:marTop w:val="0"/>
      <w:marBottom w:val="0"/>
      <w:divBdr>
        <w:top w:val="none" w:sz="0" w:space="0" w:color="auto"/>
        <w:left w:val="none" w:sz="0" w:space="0" w:color="auto"/>
        <w:bottom w:val="none" w:sz="0" w:space="0" w:color="auto"/>
        <w:right w:val="none" w:sz="0" w:space="0" w:color="auto"/>
      </w:divBdr>
      <w:divsChild>
        <w:div w:id="527529660">
          <w:marLeft w:val="0"/>
          <w:marRight w:val="0"/>
          <w:marTop w:val="0"/>
          <w:marBottom w:val="0"/>
          <w:divBdr>
            <w:top w:val="none" w:sz="0" w:space="0" w:color="auto"/>
            <w:left w:val="none" w:sz="0" w:space="0" w:color="auto"/>
            <w:bottom w:val="none" w:sz="0" w:space="0" w:color="auto"/>
            <w:right w:val="none" w:sz="0" w:space="0" w:color="auto"/>
          </w:divBdr>
          <w:divsChild>
            <w:div w:id="20531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32861">
      <w:bodyDiv w:val="1"/>
      <w:marLeft w:val="0"/>
      <w:marRight w:val="0"/>
      <w:marTop w:val="0"/>
      <w:marBottom w:val="0"/>
      <w:divBdr>
        <w:top w:val="none" w:sz="0" w:space="0" w:color="auto"/>
        <w:left w:val="none" w:sz="0" w:space="0" w:color="auto"/>
        <w:bottom w:val="none" w:sz="0" w:space="0" w:color="auto"/>
        <w:right w:val="none" w:sz="0" w:space="0" w:color="auto"/>
      </w:divBdr>
    </w:div>
    <w:div w:id="730273240">
      <w:bodyDiv w:val="1"/>
      <w:marLeft w:val="0"/>
      <w:marRight w:val="0"/>
      <w:marTop w:val="0"/>
      <w:marBottom w:val="0"/>
      <w:divBdr>
        <w:top w:val="none" w:sz="0" w:space="0" w:color="auto"/>
        <w:left w:val="none" w:sz="0" w:space="0" w:color="auto"/>
        <w:bottom w:val="none" w:sz="0" w:space="0" w:color="auto"/>
        <w:right w:val="none" w:sz="0" w:space="0" w:color="auto"/>
      </w:divBdr>
    </w:div>
    <w:div w:id="743265161">
      <w:bodyDiv w:val="1"/>
      <w:marLeft w:val="0"/>
      <w:marRight w:val="0"/>
      <w:marTop w:val="0"/>
      <w:marBottom w:val="0"/>
      <w:divBdr>
        <w:top w:val="none" w:sz="0" w:space="0" w:color="auto"/>
        <w:left w:val="none" w:sz="0" w:space="0" w:color="auto"/>
        <w:bottom w:val="none" w:sz="0" w:space="0" w:color="auto"/>
        <w:right w:val="none" w:sz="0" w:space="0" w:color="auto"/>
      </w:divBdr>
    </w:div>
    <w:div w:id="746265497">
      <w:bodyDiv w:val="1"/>
      <w:marLeft w:val="0"/>
      <w:marRight w:val="0"/>
      <w:marTop w:val="0"/>
      <w:marBottom w:val="0"/>
      <w:divBdr>
        <w:top w:val="none" w:sz="0" w:space="0" w:color="auto"/>
        <w:left w:val="none" w:sz="0" w:space="0" w:color="auto"/>
        <w:bottom w:val="none" w:sz="0" w:space="0" w:color="auto"/>
        <w:right w:val="none" w:sz="0" w:space="0" w:color="auto"/>
      </w:divBdr>
      <w:divsChild>
        <w:div w:id="1488671641">
          <w:marLeft w:val="0"/>
          <w:marRight w:val="0"/>
          <w:marTop w:val="0"/>
          <w:marBottom w:val="0"/>
          <w:divBdr>
            <w:top w:val="none" w:sz="0" w:space="0" w:color="auto"/>
            <w:left w:val="none" w:sz="0" w:space="0" w:color="auto"/>
            <w:bottom w:val="none" w:sz="0" w:space="0" w:color="auto"/>
            <w:right w:val="none" w:sz="0" w:space="0" w:color="auto"/>
          </w:divBdr>
        </w:div>
      </w:divsChild>
    </w:div>
    <w:div w:id="748231977">
      <w:bodyDiv w:val="1"/>
      <w:marLeft w:val="0"/>
      <w:marRight w:val="0"/>
      <w:marTop w:val="0"/>
      <w:marBottom w:val="0"/>
      <w:divBdr>
        <w:top w:val="none" w:sz="0" w:space="0" w:color="auto"/>
        <w:left w:val="none" w:sz="0" w:space="0" w:color="auto"/>
        <w:bottom w:val="none" w:sz="0" w:space="0" w:color="auto"/>
        <w:right w:val="none" w:sz="0" w:space="0" w:color="auto"/>
      </w:divBdr>
    </w:div>
    <w:div w:id="762801790">
      <w:bodyDiv w:val="1"/>
      <w:marLeft w:val="0"/>
      <w:marRight w:val="0"/>
      <w:marTop w:val="0"/>
      <w:marBottom w:val="0"/>
      <w:divBdr>
        <w:top w:val="none" w:sz="0" w:space="0" w:color="auto"/>
        <w:left w:val="none" w:sz="0" w:space="0" w:color="auto"/>
        <w:bottom w:val="none" w:sz="0" w:space="0" w:color="auto"/>
        <w:right w:val="none" w:sz="0" w:space="0" w:color="auto"/>
      </w:divBdr>
    </w:div>
    <w:div w:id="765879926">
      <w:bodyDiv w:val="1"/>
      <w:marLeft w:val="0"/>
      <w:marRight w:val="0"/>
      <w:marTop w:val="0"/>
      <w:marBottom w:val="0"/>
      <w:divBdr>
        <w:top w:val="none" w:sz="0" w:space="0" w:color="auto"/>
        <w:left w:val="none" w:sz="0" w:space="0" w:color="auto"/>
        <w:bottom w:val="none" w:sz="0" w:space="0" w:color="auto"/>
        <w:right w:val="none" w:sz="0" w:space="0" w:color="auto"/>
      </w:divBdr>
      <w:divsChild>
        <w:div w:id="1565800386">
          <w:marLeft w:val="0"/>
          <w:marRight w:val="0"/>
          <w:marTop w:val="0"/>
          <w:marBottom w:val="0"/>
          <w:divBdr>
            <w:top w:val="none" w:sz="0" w:space="0" w:color="auto"/>
            <w:left w:val="none" w:sz="0" w:space="0" w:color="auto"/>
            <w:bottom w:val="none" w:sz="0" w:space="0" w:color="auto"/>
            <w:right w:val="none" w:sz="0" w:space="0" w:color="auto"/>
          </w:divBdr>
        </w:div>
      </w:divsChild>
    </w:div>
    <w:div w:id="769398721">
      <w:bodyDiv w:val="1"/>
      <w:marLeft w:val="0"/>
      <w:marRight w:val="0"/>
      <w:marTop w:val="0"/>
      <w:marBottom w:val="0"/>
      <w:divBdr>
        <w:top w:val="none" w:sz="0" w:space="0" w:color="auto"/>
        <w:left w:val="none" w:sz="0" w:space="0" w:color="auto"/>
        <w:bottom w:val="none" w:sz="0" w:space="0" w:color="auto"/>
        <w:right w:val="none" w:sz="0" w:space="0" w:color="auto"/>
      </w:divBdr>
    </w:div>
    <w:div w:id="785975330">
      <w:bodyDiv w:val="1"/>
      <w:marLeft w:val="0"/>
      <w:marRight w:val="0"/>
      <w:marTop w:val="0"/>
      <w:marBottom w:val="0"/>
      <w:divBdr>
        <w:top w:val="none" w:sz="0" w:space="0" w:color="auto"/>
        <w:left w:val="none" w:sz="0" w:space="0" w:color="auto"/>
        <w:bottom w:val="none" w:sz="0" w:space="0" w:color="auto"/>
        <w:right w:val="none" w:sz="0" w:space="0" w:color="auto"/>
      </w:divBdr>
    </w:div>
    <w:div w:id="785975357">
      <w:bodyDiv w:val="1"/>
      <w:marLeft w:val="0"/>
      <w:marRight w:val="0"/>
      <w:marTop w:val="0"/>
      <w:marBottom w:val="0"/>
      <w:divBdr>
        <w:top w:val="none" w:sz="0" w:space="0" w:color="auto"/>
        <w:left w:val="none" w:sz="0" w:space="0" w:color="auto"/>
        <w:bottom w:val="none" w:sz="0" w:space="0" w:color="auto"/>
        <w:right w:val="none" w:sz="0" w:space="0" w:color="auto"/>
      </w:divBdr>
    </w:div>
    <w:div w:id="798573273">
      <w:bodyDiv w:val="1"/>
      <w:marLeft w:val="0"/>
      <w:marRight w:val="0"/>
      <w:marTop w:val="0"/>
      <w:marBottom w:val="0"/>
      <w:divBdr>
        <w:top w:val="none" w:sz="0" w:space="0" w:color="auto"/>
        <w:left w:val="none" w:sz="0" w:space="0" w:color="auto"/>
        <w:bottom w:val="none" w:sz="0" w:space="0" w:color="auto"/>
        <w:right w:val="none" w:sz="0" w:space="0" w:color="auto"/>
      </w:divBdr>
    </w:div>
    <w:div w:id="805510730">
      <w:bodyDiv w:val="1"/>
      <w:marLeft w:val="0"/>
      <w:marRight w:val="0"/>
      <w:marTop w:val="0"/>
      <w:marBottom w:val="0"/>
      <w:divBdr>
        <w:top w:val="none" w:sz="0" w:space="0" w:color="auto"/>
        <w:left w:val="none" w:sz="0" w:space="0" w:color="auto"/>
        <w:bottom w:val="none" w:sz="0" w:space="0" w:color="auto"/>
        <w:right w:val="none" w:sz="0" w:space="0" w:color="auto"/>
      </w:divBdr>
    </w:div>
    <w:div w:id="810708679">
      <w:bodyDiv w:val="1"/>
      <w:marLeft w:val="0"/>
      <w:marRight w:val="0"/>
      <w:marTop w:val="0"/>
      <w:marBottom w:val="0"/>
      <w:divBdr>
        <w:top w:val="none" w:sz="0" w:space="0" w:color="auto"/>
        <w:left w:val="none" w:sz="0" w:space="0" w:color="auto"/>
        <w:bottom w:val="none" w:sz="0" w:space="0" w:color="auto"/>
        <w:right w:val="none" w:sz="0" w:space="0" w:color="auto"/>
      </w:divBdr>
    </w:div>
    <w:div w:id="839076625">
      <w:bodyDiv w:val="1"/>
      <w:marLeft w:val="0"/>
      <w:marRight w:val="0"/>
      <w:marTop w:val="0"/>
      <w:marBottom w:val="0"/>
      <w:divBdr>
        <w:top w:val="none" w:sz="0" w:space="0" w:color="auto"/>
        <w:left w:val="none" w:sz="0" w:space="0" w:color="auto"/>
        <w:bottom w:val="none" w:sz="0" w:space="0" w:color="auto"/>
        <w:right w:val="none" w:sz="0" w:space="0" w:color="auto"/>
      </w:divBdr>
    </w:div>
    <w:div w:id="839347772">
      <w:bodyDiv w:val="1"/>
      <w:marLeft w:val="0"/>
      <w:marRight w:val="0"/>
      <w:marTop w:val="0"/>
      <w:marBottom w:val="0"/>
      <w:divBdr>
        <w:top w:val="none" w:sz="0" w:space="0" w:color="auto"/>
        <w:left w:val="none" w:sz="0" w:space="0" w:color="auto"/>
        <w:bottom w:val="none" w:sz="0" w:space="0" w:color="auto"/>
        <w:right w:val="none" w:sz="0" w:space="0" w:color="auto"/>
      </w:divBdr>
    </w:div>
    <w:div w:id="839858076">
      <w:bodyDiv w:val="1"/>
      <w:marLeft w:val="0"/>
      <w:marRight w:val="0"/>
      <w:marTop w:val="0"/>
      <w:marBottom w:val="0"/>
      <w:divBdr>
        <w:top w:val="none" w:sz="0" w:space="0" w:color="auto"/>
        <w:left w:val="none" w:sz="0" w:space="0" w:color="auto"/>
        <w:bottom w:val="none" w:sz="0" w:space="0" w:color="auto"/>
        <w:right w:val="none" w:sz="0" w:space="0" w:color="auto"/>
      </w:divBdr>
    </w:div>
    <w:div w:id="845898593">
      <w:bodyDiv w:val="1"/>
      <w:marLeft w:val="0"/>
      <w:marRight w:val="0"/>
      <w:marTop w:val="0"/>
      <w:marBottom w:val="0"/>
      <w:divBdr>
        <w:top w:val="none" w:sz="0" w:space="0" w:color="auto"/>
        <w:left w:val="none" w:sz="0" w:space="0" w:color="auto"/>
        <w:bottom w:val="none" w:sz="0" w:space="0" w:color="auto"/>
        <w:right w:val="none" w:sz="0" w:space="0" w:color="auto"/>
      </w:divBdr>
    </w:div>
    <w:div w:id="855311831">
      <w:bodyDiv w:val="1"/>
      <w:marLeft w:val="0"/>
      <w:marRight w:val="0"/>
      <w:marTop w:val="0"/>
      <w:marBottom w:val="0"/>
      <w:divBdr>
        <w:top w:val="none" w:sz="0" w:space="0" w:color="auto"/>
        <w:left w:val="none" w:sz="0" w:space="0" w:color="auto"/>
        <w:bottom w:val="none" w:sz="0" w:space="0" w:color="auto"/>
        <w:right w:val="none" w:sz="0" w:space="0" w:color="auto"/>
      </w:divBdr>
    </w:div>
    <w:div w:id="870723814">
      <w:bodyDiv w:val="1"/>
      <w:marLeft w:val="0"/>
      <w:marRight w:val="0"/>
      <w:marTop w:val="0"/>
      <w:marBottom w:val="0"/>
      <w:divBdr>
        <w:top w:val="none" w:sz="0" w:space="0" w:color="auto"/>
        <w:left w:val="none" w:sz="0" w:space="0" w:color="auto"/>
        <w:bottom w:val="none" w:sz="0" w:space="0" w:color="auto"/>
        <w:right w:val="none" w:sz="0" w:space="0" w:color="auto"/>
      </w:divBdr>
      <w:divsChild>
        <w:div w:id="744495801">
          <w:marLeft w:val="-720"/>
          <w:marRight w:val="0"/>
          <w:marTop w:val="0"/>
          <w:marBottom w:val="0"/>
          <w:divBdr>
            <w:top w:val="none" w:sz="0" w:space="0" w:color="auto"/>
            <w:left w:val="none" w:sz="0" w:space="0" w:color="auto"/>
            <w:bottom w:val="none" w:sz="0" w:space="0" w:color="auto"/>
            <w:right w:val="none" w:sz="0" w:space="0" w:color="auto"/>
          </w:divBdr>
        </w:div>
      </w:divsChild>
    </w:div>
    <w:div w:id="872618232">
      <w:bodyDiv w:val="1"/>
      <w:marLeft w:val="0"/>
      <w:marRight w:val="0"/>
      <w:marTop w:val="0"/>
      <w:marBottom w:val="0"/>
      <w:divBdr>
        <w:top w:val="none" w:sz="0" w:space="0" w:color="auto"/>
        <w:left w:val="none" w:sz="0" w:space="0" w:color="auto"/>
        <w:bottom w:val="none" w:sz="0" w:space="0" w:color="auto"/>
        <w:right w:val="none" w:sz="0" w:space="0" w:color="auto"/>
      </w:divBdr>
    </w:div>
    <w:div w:id="879901141">
      <w:bodyDiv w:val="1"/>
      <w:marLeft w:val="0"/>
      <w:marRight w:val="0"/>
      <w:marTop w:val="0"/>
      <w:marBottom w:val="0"/>
      <w:divBdr>
        <w:top w:val="none" w:sz="0" w:space="0" w:color="auto"/>
        <w:left w:val="none" w:sz="0" w:space="0" w:color="auto"/>
        <w:bottom w:val="none" w:sz="0" w:space="0" w:color="auto"/>
        <w:right w:val="none" w:sz="0" w:space="0" w:color="auto"/>
      </w:divBdr>
      <w:divsChild>
        <w:div w:id="1550648522">
          <w:marLeft w:val="-720"/>
          <w:marRight w:val="0"/>
          <w:marTop w:val="0"/>
          <w:marBottom w:val="0"/>
          <w:divBdr>
            <w:top w:val="none" w:sz="0" w:space="0" w:color="auto"/>
            <w:left w:val="none" w:sz="0" w:space="0" w:color="auto"/>
            <w:bottom w:val="none" w:sz="0" w:space="0" w:color="auto"/>
            <w:right w:val="none" w:sz="0" w:space="0" w:color="auto"/>
          </w:divBdr>
        </w:div>
      </w:divsChild>
    </w:div>
    <w:div w:id="889002751">
      <w:bodyDiv w:val="1"/>
      <w:marLeft w:val="0"/>
      <w:marRight w:val="0"/>
      <w:marTop w:val="0"/>
      <w:marBottom w:val="0"/>
      <w:divBdr>
        <w:top w:val="none" w:sz="0" w:space="0" w:color="auto"/>
        <w:left w:val="none" w:sz="0" w:space="0" w:color="auto"/>
        <w:bottom w:val="none" w:sz="0" w:space="0" w:color="auto"/>
        <w:right w:val="none" w:sz="0" w:space="0" w:color="auto"/>
      </w:divBdr>
    </w:div>
    <w:div w:id="898983250">
      <w:bodyDiv w:val="1"/>
      <w:marLeft w:val="0"/>
      <w:marRight w:val="0"/>
      <w:marTop w:val="0"/>
      <w:marBottom w:val="0"/>
      <w:divBdr>
        <w:top w:val="none" w:sz="0" w:space="0" w:color="auto"/>
        <w:left w:val="none" w:sz="0" w:space="0" w:color="auto"/>
        <w:bottom w:val="none" w:sz="0" w:space="0" w:color="auto"/>
        <w:right w:val="none" w:sz="0" w:space="0" w:color="auto"/>
      </w:divBdr>
    </w:div>
    <w:div w:id="908463912">
      <w:bodyDiv w:val="1"/>
      <w:marLeft w:val="0"/>
      <w:marRight w:val="0"/>
      <w:marTop w:val="0"/>
      <w:marBottom w:val="0"/>
      <w:divBdr>
        <w:top w:val="none" w:sz="0" w:space="0" w:color="auto"/>
        <w:left w:val="none" w:sz="0" w:space="0" w:color="auto"/>
        <w:bottom w:val="none" w:sz="0" w:space="0" w:color="auto"/>
        <w:right w:val="none" w:sz="0" w:space="0" w:color="auto"/>
      </w:divBdr>
    </w:div>
    <w:div w:id="912931828">
      <w:bodyDiv w:val="1"/>
      <w:marLeft w:val="0"/>
      <w:marRight w:val="0"/>
      <w:marTop w:val="0"/>
      <w:marBottom w:val="0"/>
      <w:divBdr>
        <w:top w:val="none" w:sz="0" w:space="0" w:color="auto"/>
        <w:left w:val="none" w:sz="0" w:space="0" w:color="auto"/>
        <w:bottom w:val="none" w:sz="0" w:space="0" w:color="auto"/>
        <w:right w:val="none" w:sz="0" w:space="0" w:color="auto"/>
      </w:divBdr>
    </w:div>
    <w:div w:id="915820626">
      <w:bodyDiv w:val="1"/>
      <w:marLeft w:val="0"/>
      <w:marRight w:val="0"/>
      <w:marTop w:val="0"/>
      <w:marBottom w:val="0"/>
      <w:divBdr>
        <w:top w:val="none" w:sz="0" w:space="0" w:color="auto"/>
        <w:left w:val="none" w:sz="0" w:space="0" w:color="auto"/>
        <w:bottom w:val="none" w:sz="0" w:space="0" w:color="auto"/>
        <w:right w:val="none" w:sz="0" w:space="0" w:color="auto"/>
      </w:divBdr>
    </w:div>
    <w:div w:id="917179630">
      <w:bodyDiv w:val="1"/>
      <w:marLeft w:val="0"/>
      <w:marRight w:val="0"/>
      <w:marTop w:val="0"/>
      <w:marBottom w:val="0"/>
      <w:divBdr>
        <w:top w:val="none" w:sz="0" w:space="0" w:color="auto"/>
        <w:left w:val="none" w:sz="0" w:space="0" w:color="auto"/>
        <w:bottom w:val="none" w:sz="0" w:space="0" w:color="auto"/>
        <w:right w:val="none" w:sz="0" w:space="0" w:color="auto"/>
      </w:divBdr>
    </w:div>
    <w:div w:id="926425170">
      <w:bodyDiv w:val="1"/>
      <w:marLeft w:val="0"/>
      <w:marRight w:val="0"/>
      <w:marTop w:val="0"/>
      <w:marBottom w:val="0"/>
      <w:divBdr>
        <w:top w:val="none" w:sz="0" w:space="0" w:color="auto"/>
        <w:left w:val="none" w:sz="0" w:space="0" w:color="auto"/>
        <w:bottom w:val="none" w:sz="0" w:space="0" w:color="auto"/>
        <w:right w:val="none" w:sz="0" w:space="0" w:color="auto"/>
      </w:divBdr>
    </w:div>
    <w:div w:id="946933648">
      <w:bodyDiv w:val="1"/>
      <w:marLeft w:val="0"/>
      <w:marRight w:val="0"/>
      <w:marTop w:val="0"/>
      <w:marBottom w:val="0"/>
      <w:divBdr>
        <w:top w:val="none" w:sz="0" w:space="0" w:color="auto"/>
        <w:left w:val="none" w:sz="0" w:space="0" w:color="auto"/>
        <w:bottom w:val="none" w:sz="0" w:space="0" w:color="auto"/>
        <w:right w:val="none" w:sz="0" w:space="0" w:color="auto"/>
      </w:divBdr>
    </w:div>
    <w:div w:id="955868706">
      <w:bodyDiv w:val="1"/>
      <w:marLeft w:val="0"/>
      <w:marRight w:val="0"/>
      <w:marTop w:val="0"/>
      <w:marBottom w:val="0"/>
      <w:divBdr>
        <w:top w:val="none" w:sz="0" w:space="0" w:color="auto"/>
        <w:left w:val="none" w:sz="0" w:space="0" w:color="auto"/>
        <w:bottom w:val="none" w:sz="0" w:space="0" w:color="auto"/>
        <w:right w:val="none" w:sz="0" w:space="0" w:color="auto"/>
      </w:divBdr>
    </w:div>
    <w:div w:id="965966149">
      <w:bodyDiv w:val="1"/>
      <w:marLeft w:val="0"/>
      <w:marRight w:val="0"/>
      <w:marTop w:val="0"/>
      <w:marBottom w:val="0"/>
      <w:divBdr>
        <w:top w:val="none" w:sz="0" w:space="0" w:color="auto"/>
        <w:left w:val="none" w:sz="0" w:space="0" w:color="auto"/>
        <w:bottom w:val="none" w:sz="0" w:space="0" w:color="auto"/>
        <w:right w:val="none" w:sz="0" w:space="0" w:color="auto"/>
      </w:divBdr>
    </w:div>
    <w:div w:id="971061700">
      <w:bodyDiv w:val="1"/>
      <w:marLeft w:val="0"/>
      <w:marRight w:val="0"/>
      <w:marTop w:val="0"/>
      <w:marBottom w:val="0"/>
      <w:divBdr>
        <w:top w:val="none" w:sz="0" w:space="0" w:color="auto"/>
        <w:left w:val="none" w:sz="0" w:space="0" w:color="auto"/>
        <w:bottom w:val="none" w:sz="0" w:space="0" w:color="auto"/>
        <w:right w:val="none" w:sz="0" w:space="0" w:color="auto"/>
      </w:divBdr>
      <w:divsChild>
        <w:div w:id="951472866">
          <w:marLeft w:val="0"/>
          <w:marRight w:val="0"/>
          <w:marTop w:val="120"/>
          <w:marBottom w:val="0"/>
          <w:divBdr>
            <w:top w:val="none" w:sz="0" w:space="0" w:color="auto"/>
            <w:left w:val="none" w:sz="0" w:space="0" w:color="auto"/>
            <w:bottom w:val="none" w:sz="0" w:space="0" w:color="auto"/>
            <w:right w:val="none" w:sz="0" w:space="0" w:color="auto"/>
          </w:divBdr>
          <w:divsChild>
            <w:div w:id="37358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96746">
      <w:bodyDiv w:val="1"/>
      <w:marLeft w:val="0"/>
      <w:marRight w:val="0"/>
      <w:marTop w:val="0"/>
      <w:marBottom w:val="0"/>
      <w:divBdr>
        <w:top w:val="none" w:sz="0" w:space="0" w:color="auto"/>
        <w:left w:val="none" w:sz="0" w:space="0" w:color="auto"/>
        <w:bottom w:val="none" w:sz="0" w:space="0" w:color="auto"/>
        <w:right w:val="none" w:sz="0" w:space="0" w:color="auto"/>
      </w:divBdr>
    </w:div>
    <w:div w:id="988708165">
      <w:bodyDiv w:val="1"/>
      <w:marLeft w:val="0"/>
      <w:marRight w:val="0"/>
      <w:marTop w:val="0"/>
      <w:marBottom w:val="0"/>
      <w:divBdr>
        <w:top w:val="none" w:sz="0" w:space="0" w:color="auto"/>
        <w:left w:val="none" w:sz="0" w:space="0" w:color="auto"/>
        <w:bottom w:val="none" w:sz="0" w:space="0" w:color="auto"/>
        <w:right w:val="none" w:sz="0" w:space="0" w:color="auto"/>
      </w:divBdr>
    </w:div>
    <w:div w:id="994719164">
      <w:bodyDiv w:val="1"/>
      <w:marLeft w:val="0"/>
      <w:marRight w:val="0"/>
      <w:marTop w:val="0"/>
      <w:marBottom w:val="0"/>
      <w:divBdr>
        <w:top w:val="none" w:sz="0" w:space="0" w:color="auto"/>
        <w:left w:val="none" w:sz="0" w:space="0" w:color="auto"/>
        <w:bottom w:val="none" w:sz="0" w:space="0" w:color="auto"/>
        <w:right w:val="none" w:sz="0" w:space="0" w:color="auto"/>
      </w:divBdr>
    </w:div>
    <w:div w:id="995299335">
      <w:bodyDiv w:val="1"/>
      <w:marLeft w:val="0"/>
      <w:marRight w:val="0"/>
      <w:marTop w:val="0"/>
      <w:marBottom w:val="0"/>
      <w:divBdr>
        <w:top w:val="none" w:sz="0" w:space="0" w:color="auto"/>
        <w:left w:val="none" w:sz="0" w:space="0" w:color="auto"/>
        <w:bottom w:val="none" w:sz="0" w:space="0" w:color="auto"/>
        <w:right w:val="none" w:sz="0" w:space="0" w:color="auto"/>
      </w:divBdr>
    </w:div>
    <w:div w:id="998461430">
      <w:bodyDiv w:val="1"/>
      <w:marLeft w:val="0"/>
      <w:marRight w:val="0"/>
      <w:marTop w:val="0"/>
      <w:marBottom w:val="0"/>
      <w:divBdr>
        <w:top w:val="none" w:sz="0" w:space="0" w:color="auto"/>
        <w:left w:val="none" w:sz="0" w:space="0" w:color="auto"/>
        <w:bottom w:val="none" w:sz="0" w:space="0" w:color="auto"/>
        <w:right w:val="none" w:sz="0" w:space="0" w:color="auto"/>
      </w:divBdr>
    </w:div>
    <w:div w:id="1009868062">
      <w:bodyDiv w:val="1"/>
      <w:marLeft w:val="0"/>
      <w:marRight w:val="0"/>
      <w:marTop w:val="0"/>
      <w:marBottom w:val="0"/>
      <w:divBdr>
        <w:top w:val="none" w:sz="0" w:space="0" w:color="auto"/>
        <w:left w:val="none" w:sz="0" w:space="0" w:color="auto"/>
        <w:bottom w:val="none" w:sz="0" w:space="0" w:color="auto"/>
        <w:right w:val="none" w:sz="0" w:space="0" w:color="auto"/>
      </w:divBdr>
    </w:div>
    <w:div w:id="1020935513">
      <w:bodyDiv w:val="1"/>
      <w:marLeft w:val="0"/>
      <w:marRight w:val="0"/>
      <w:marTop w:val="0"/>
      <w:marBottom w:val="0"/>
      <w:divBdr>
        <w:top w:val="none" w:sz="0" w:space="0" w:color="auto"/>
        <w:left w:val="none" w:sz="0" w:space="0" w:color="auto"/>
        <w:bottom w:val="none" w:sz="0" w:space="0" w:color="auto"/>
        <w:right w:val="none" w:sz="0" w:space="0" w:color="auto"/>
      </w:divBdr>
    </w:div>
    <w:div w:id="1027827326">
      <w:bodyDiv w:val="1"/>
      <w:marLeft w:val="0"/>
      <w:marRight w:val="0"/>
      <w:marTop w:val="0"/>
      <w:marBottom w:val="0"/>
      <w:divBdr>
        <w:top w:val="none" w:sz="0" w:space="0" w:color="auto"/>
        <w:left w:val="none" w:sz="0" w:space="0" w:color="auto"/>
        <w:bottom w:val="none" w:sz="0" w:space="0" w:color="auto"/>
        <w:right w:val="none" w:sz="0" w:space="0" w:color="auto"/>
      </w:divBdr>
    </w:div>
    <w:div w:id="1028220004">
      <w:bodyDiv w:val="1"/>
      <w:marLeft w:val="0"/>
      <w:marRight w:val="0"/>
      <w:marTop w:val="0"/>
      <w:marBottom w:val="0"/>
      <w:divBdr>
        <w:top w:val="none" w:sz="0" w:space="0" w:color="auto"/>
        <w:left w:val="none" w:sz="0" w:space="0" w:color="auto"/>
        <w:bottom w:val="none" w:sz="0" w:space="0" w:color="auto"/>
        <w:right w:val="none" w:sz="0" w:space="0" w:color="auto"/>
      </w:divBdr>
    </w:div>
    <w:div w:id="1038318184">
      <w:bodyDiv w:val="1"/>
      <w:marLeft w:val="0"/>
      <w:marRight w:val="0"/>
      <w:marTop w:val="0"/>
      <w:marBottom w:val="0"/>
      <w:divBdr>
        <w:top w:val="none" w:sz="0" w:space="0" w:color="auto"/>
        <w:left w:val="none" w:sz="0" w:space="0" w:color="auto"/>
        <w:bottom w:val="none" w:sz="0" w:space="0" w:color="auto"/>
        <w:right w:val="none" w:sz="0" w:space="0" w:color="auto"/>
      </w:divBdr>
    </w:div>
    <w:div w:id="1040547262">
      <w:bodyDiv w:val="1"/>
      <w:marLeft w:val="0"/>
      <w:marRight w:val="0"/>
      <w:marTop w:val="0"/>
      <w:marBottom w:val="0"/>
      <w:divBdr>
        <w:top w:val="none" w:sz="0" w:space="0" w:color="auto"/>
        <w:left w:val="none" w:sz="0" w:space="0" w:color="auto"/>
        <w:bottom w:val="none" w:sz="0" w:space="0" w:color="auto"/>
        <w:right w:val="none" w:sz="0" w:space="0" w:color="auto"/>
      </w:divBdr>
    </w:div>
    <w:div w:id="1045329467">
      <w:bodyDiv w:val="1"/>
      <w:marLeft w:val="0"/>
      <w:marRight w:val="0"/>
      <w:marTop w:val="0"/>
      <w:marBottom w:val="0"/>
      <w:divBdr>
        <w:top w:val="none" w:sz="0" w:space="0" w:color="auto"/>
        <w:left w:val="none" w:sz="0" w:space="0" w:color="auto"/>
        <w:bottom w:val="none" w:sz="0" w:space="0" w:color="auto"/>
        <w:right w:val="none" w:sz="0" w:space="0" w:color="auto"/>
      </w:divBdr>
      <w:divsChild>
        <w:div w:id="47001114">
          <w:marLeft w:val="0"/>
          <w:marRight w:val="0"/>
          <w:marTop w:val="0"/>
          <w:marBottom w:val="0"/>
          <w:divBdr>
            <w:top w:val="none" w:sz="0" w:space="0" w:color="auto"/>
            <w:left w:val="none" w:sz="0" w:space="0" w:color="auto"/>
            <w:bottom w:val="none" w:sz="0" w:space="0" w:color="auto"/>
            <w:right w:val="none" w:sz="0" w:space="0" w:color="auto"/>
          </w:divBdr>
        </w:div>
      </w:divsChild>
    </w:div>
    <w:div w:id="1047073326">
      <w:bodyDiv w:val="1"/>
      <w:marLeft w:val="0"/>
      <w:marRight w:val="0"/>
      <w:marTop w:val="0"/>
      <w:marBottom w:val="0"/>
      <w:divBdr>
        <w:top w:val="none" w:sz="0" w:space="0" w:color="auto"/>
        <w:left w:val="none" w:sz="0" w:space="0" w:color="auto"/>
        <w:bottom w:val="none" w:sz="0" w:space="0" w:color="auto"/>
        <w:right w:val="none" w:sz="0" w:space="0" w:color="auto"/>
      </w:divBdr>
    </w:div>
    <w:div w:id="1054475277">
      <w:bodyDiv w:val="1"/>
      <w:marLeft w:val="0"/>
      <w:marRight w:val="0"/>
      <w:marTop w:val="0"/>
      <w:marBottom w:val="0"/>
      <w:divBdr>
        <w:top w:val="none" w:sz="0" w:space="0" w:color="auto"/>
        <w:left w:val="none" w:sz="0" w:space="0" w:color="auto"/>
        <w:bottom w:val="none" w:sz="0" w:space="0" w:color="auto"/>
        <w:right w:val="none" w:sz="0" w:space="0" w:color="auto"/>
      </w:divBdr>
    </w:div>
    <w:div w:id="1075588588">
      <w:bodyDiv w:val="1"/>
      <w:marLeft w:val="0"/>
      <w:marRight w:val="0"/>
      <w:marTop w:val="0"/>
      <w:marBottom w:val="0"/>
      <w:divBdr>
        <w:top w:val="none" w:sz="0" w:space="0" w:color="auto"/>
        <w:left w:val="none" w:sz="0" w:space="0" w:color="auto"/>
        <w:bottom w:val="none" w:sz="0" w:space="0" w:color="auto"/>
        <w:right w:val="none" w:sz="0" w:space="0" w:color="auto"/>
      </w:divBdr>
    </w:div>
    <w:div w:id="1087111692">
      <w:bodyDiv w:val="1"/>
      <w:marLeft w:val="0"/>
      <w:marRight w:val="0"/>
      <w:marTop w:val="0"/>
      <w:marBottom w:val="0"/>
      <w:divBdr>
        <w:top w:val="none" w:sz="0" w:space="0" w:color="auto"/>
        <w:left w:val="none" w:sz="0" w:space="0" w:color="auto"/>
        <w:bottom w:val="none" w:sz="0" w:space="0" w:color="auto"/>
        <w:right w:val="none" w:sz="0" w:space="0" w:color="auto"/>
      </w:divBdr>
    </w:div>
    <w:div w:id="1087113441">
      <w:bodyDiv w:val="1"/>
      <w:marLeft w:val="0"/>
      <w:marRight w:val="0"/>
      <w:marTop w:val="0"/>
      <w:marBottom w:val="0"/>
      <w:divBdr>
        <w:top w:val="none" w:sz="0" w:space="0" w:color="auto"/>
        <w:left w:val="none" w:sz="0" w:space="0" w:color="auto"/>
        <w:bottom w:val="none" w:sz="0" w:space="0" w:color="auto"/>
        <w:right w:val="none" w:sz="0" w:space="0" w:color="auto"/>
      </w:divBdr>
    </w:div>
    <w:div w:id="1112240132">
      <w:bodyDiv w:val="1"/>
      <w:marLeft w:val="0"/>
      <w:marRight w:val="0"/>
      <w:marTop w:val="0"/>
      <w:marBottom w:val="0"/>
      <w:divBdr>
        <w:top w:val="none" w:sz="0" w:space="0" w:color="auto"/>
        <w:left w:val="none" w:sz="0" w:space="0" w:color="auto"/>
        <w:bottom w:val="none" w:sz="0" w:space="0" w:color="auto"/>
        <w:right w:val="none" w:sz="0" w:space="0" w:color="auto"/>
      </w:divBdr>
      <w:divsChild>
        <w:div w:id="1049109088">
          <w:marLeft w:val="0"/>
          <w:marRight w:val="0"/>
          <w:marTop w:val="0"/>
          <w:marBottom w:val="0"/>
          <w:divBdr>
            <w:top w:val="none" w:sz="0" w:space="0" w:color="auto"/>
            <w:left w:val="none" w:sz="0" w:space="0" w:color="auto"/>
            <w:bottom w:val="none" w:sz="0" w:space="0" w:color="auto"/>
            <w:right w:val="none" w:sz="0" w:space="0" w:color="auto"/>
          </w:divBdr>
        </w:div>
        <w:div w:id="1007830356">
          <w:marLeft w:val="0"/>
          <w:marRight w:val="0"/>
          <w:marTop w:val="0"/>
          <w:marBottom w:val="0"/>
          <w:divBdr>
            <w:top w:val="none" w:sz="0" w:space="0" w:color="auto"/>
            <w:left w:val="none" w:sz="0" w:space="0" w:color="auto"/>
            <w:bottom w:val="none" w:sz="0" w:space="0" w:color="auto"/>
            <w:right w:val="none" w:sz="0" w:space="0" w:color="auto"/>
          </w:divBdr>
        </w:div>
        <w:div w:id="1935698713">
          <w:marLeft w:val="0"/>
          <w:marRight w:val="0"/>
          <w:marTop w:val="0"/>
          <w:marBottom w:val="0"/>
          <w:divBdr>
            <w:top w:val="none" w:sz="0" w:space="0" w:color="auto"/>
            <w:left w:val="none" w:sz="0" w:space="0" w:color="auto"/>
            <w:bottom w:val="none" w:sz="0" w:space="0" w:color="auto"/>
            <w:right w:val="none" w:sz="0" w:space="0" w:color="auto"/>
          </w:divBdr>
        </w:div>
      </w:divsChild>
    </w:div>
    <w:div w:id="1113750524">
      <w:bodyDiv w:val="1"/>
      <w:marLeft w:val="0"/>
      <w:marRight w:val="0"/>
      <w:marTop w:val="0"/>
      <w:marBottom w:val="0"/>
      <w:divBdr>
        <w:top w:val="none" w:sz="0" w:space="0" w:color="auto"/>
        <w:left w:val="none" w:sz="0" w:space="0" w:color="auto"/>
        <w:bottom w:val="none" w:sz="0" w:space="0" w:color="auto"/>
        <w:right w:val="none" w:sz="0" w:space="0" w:color="auto"/>
      </w:divBdr>
    </w:div>
    <w:div w:id="1114791882">
      <w:bodyDiv w:val="1"/>
      <w:marLeft w:val="0"/>
      <w:marRight w:val="0"/>
      <w:marTop w:val="0"/>
      <w:marBottom w:val="0"/>
      <w:divBdr>
        <w:top w:val="none" w:sz="0" w:space="0" w:color="auto"/>
        <w:left w:val="none" w:sz="0" w:space="0" w:color="auto"/>
        <w:bottom w:val="none" w:sz="0" w:space="0" w:color="auto"/>
        <w:right w:val="none" w:sz="0" w:space="0" w:color="auto"/>
      </w:divBdr>
    </w:div>
    <w:div w:id="1123421117">
      <w:bodyDiv w:val="1"/>
      <w:marLeft w:val="0"/>
      <w:marRight w:val="0"/>
      <w:marTop w:val="0"/>
      <w:marBottom w:val="0"/>
      <w:divBdr>
        <w:top w:val="none" w:sz="0" w:space="0" w:color="auto"/>
        <w:left w:val="none" w:sz="0" w:space="0" w:color="auto"/>
        <w:bottom w:val="none" w:sz="0" w:space="0" w:color="auto"/>
        <w:right w:val="none" w:sz="0" w:space="0" w:color="auto"/>
      </w:divBdr>
    </w:div>
    <w:div w:id="1124422914">
      <w:bodyDiv w:val="1"/>
      <w:marLeft w:val="0"/>
      <w:marRight w:val="0"/>
      <w:marTop w:val="0"/>
      <w:marBottom w:val="0"/>
      <w:divBdr>
        <w:top w:val="none" w:sz="0" w:space="0" w:color="auto"/>
        <w:left w:val="none" w:sz="0" w:space="0" w:color="auto"/>
        <w:bottom w:val="none" w:sz="0" w:space="0" w:color="auto"/>
        <w:right w:val="none" w:sz="0" w:space="0" w:color="auto"/>
      </w:divBdr>
    </w:div>
    <w:div w:id="1128862085">
      <w:bodyDiv w:val="1"/>
      <w:marLeft w:val="0"/>
      <w:marRight w:val="0"/>
      <w:marTop w:val="0"/>
      <w:marBottom w:val="0"/>
      <w:divBdr>
        <w:top w:val="none" w:sz="0" w:space="0" w:color="auto"/>
        <w:left w:val="none" w:sz="0" w:space="0" w:color="auto"/>
        <w:bottom w:val="none" w:sz="0" w:space="0" w:color="auto"/>
        <w:right w:val="none" w:sz="0" w:space="0" w:color="auto"/>
      </w:divBdr>
    </w:div>
    <w:div w:id="1132093006">
      <w:bodyDiv w:val="1"/>
      <w:marLeft w:val="0"/>
      <w:marRight w:val="0"/>
      <w:marTop w:val="0"/>
      <w:marBottom w:val="0"/>
      <w:divBdr>
        <w:top w:val="none" w:sz="0" w:space="0" w:color="auto"/>
        <w:left w:val="none" w:sz="0" w:space="0" w:color="auto"/>
        <w:bottom w:val="none" w:sz="0" w:space="0" w:color="auto"/>
        <w:right w:val="none" w:sz="0" w:space="0" w:color="auto"/>
      </w:divBdr>
    </w:div>
    <w:div w:id="1148397538">
      <w:bodyDiv w:val="1"/>
      <w:marLeft w:val="0"/>
      <w:marRight w:val="0"/>
      <w:marTop w:val="0"/>
      <w:marBottom w:val="0"/>
      <w:divBdr>
        <w:top w:val="none" w:sz="0" w:space="0" w:color="auto"/>
        <w:left w:val="none" w:sz="0" w:space="0" w:color="auto"/>
        <w:bottom w:val="none" w:sz="0" w:space="0" w:color="auto"/>
        <w:right w:val="none" w:sz="0" w:space="0" w:color="auto"/>
      </w:divBdr>
    </w:div>
    <w:div w:id="1148979783">
      <w:bodyDiv w:val="1"/>
      <w:marLeft w:val="0"/>
      <w:marRight w:val="0"/>
      <w:marTop w:val="0"/>
      <w:marBottom w:val="0"/>
      <w:divBdr>
        <w:top w:val="none" w:sz="0" w:space="0" w:color="auto"/>
        <w:left w:val="none" w:sz="0" w:space="0" w:color="auto"/>
        <w:bottom w:val="none" w:sz="0" w:space="0" w:color="auto"/>
        <w:right w:val="none" w:sz="0" w:space="0" w:color="auto"/>
      </w:divBdr>
    </w:div>
    <w:div w:id="1153761872">
      <w:bodyDiv w:val="1"/>
      <w:marLeft w:val="0"/>
      <w:marRight w:val="0"/>
      <w:marTop w:val="0"/>
      <w:marBottom w:val="0"/>
      <w:divBdr>
        <w:top w:val="none" w:sz="0" w:space="0" w:color="auto"/>
        <w:left w:val="none" w:sz="0" w:space="0" w:color="auto"/>
        <w:bottom w:val="none" w:sz="0" w:space="0" w:color="auto"/>
        <w:right w:val="none" w:sz="0" w:space="0" w:color="auto"/>
      </w:divBdr>
    </w:div>
    <w:div w:id="1154177811">
      <w:bodyDiv w:val="1"/>
      <w:marLeft w:val="0"/>
      <w:marRight w:val="0"/>
      <w:marTop w:val="0"/>
      <w:marBottom w:val="0"/>
      <w:divBdr>
        <w:top w:val="none" w:sz="0" w:space="0" w:color="auto"/>
        <w:left w:val="none" w:sz="0" w:space="0" w:color="auto"/>
        <w:bottom w:val="none" w:sz="0" w:space="0" w:color="auto"/>
        <w:right w:val="none" w:sz="0" w:space="0" w:color="auto"/>
      </w:divBdr>
    </w:div>
    <w:div w:id="1164198459">
      <w:bodyDiv w:val="1"/>
      <w:marLeft w:val="0"/>
      <w:marRight w:val="0"/>
      <w:marTop w:val="0"/>
      <w:marBottom w:val="0"/>
      <w:divBdr>
        <w:top w:val="none" w:sz="0" w:space="0" w:color="auto"/>
        <w:left w:val="none" w:sz="0" w:space="0" w:color="auto"/>
        <w:bottom w:val="none" w:sz="0" w:space="0" w:color="auto"/>
        <w:right w:val="none" w:sz="0" w:space="0" w:color="auto"/>
      </w:divBdr>
    </w:div>
    <w:div w:id="1164248719">
      <w:bodyDiv w:val="1"/>
      <w:marLeft w:val="0"/>
      <w:marRight w:val="0"/>
      <w:marTop w:val="0"/>
      <w:marBottom w:val="0"/>
      <w:divBdr>
        <w:top w:val="none" w:sz="0" w:space="0" w:color="auto"/>
        <w:left w:val="none" w:sz="0" w:space="0" w:color="auto"/>
        <w:bottom w:val="none" w:sz="0" w:space="0" w:color="auto"/>
        <w:right w:val="none" w:sz="0" w:space="0" w:color="auto"/>
      </w:divBdr>
    </w:div>
    <w:div w:id="1165127023">
      <w:bodyDiv w:val="1"/>
      <w:marLeft w:val="0"/>
      <w:marRight w:val="0"/>
      <w:marTop w:val="0"/>
      <w:marBottom w:val="0"/>
      <w:divBdr>
        <w:top w:val="none" w:sz="0" w:space="0" w:color="auto"/>
        <w:left w:val="none" w:sz="0" w:space="0" w:color="auto"/>
        <w:bottom w:val="none" w:sz="0" w:space="0" w:color="auto"/>
        <w:right w:val="none" w:sz="0" w:space="0" w:color="auto"/>
      </w:divBdr>
    </w:div>
    <w:div w:id="1168253047">
      <w:bodyDiv w:val="1"/>
      <w:marLeft w:val="0"/>
      <w:marRight w:val="0"/>
      <w:marTop w:val="0"/>
      <w:marBottom w:val="0"/>
      <w:divBdr>
        <w:top w:val="none" w:sz="0" w:space="0" w:color="auto"/>
        <w:left w:val="none" w:sz="0" w:space="0" w:color="auto"/>
        <w:bottom w:val="none" w:sz="0" w:space="0" w:color="auto"/>
        <w:right w:val="none" w:sz="0" w:space="0" w:color="auto"/>
      </w:divBdr>
    </w:div>
    <w:div w:id="1181548620">
      <w:bodyDiv w:val="1"/>
      <w:marLeft w:val="0"/>
      <w:marRight w:val="0"/>
      <w:marTop w:val="0"/>
      <w:marBottom w:val="0"/>
      <w:divBdr>
        <w:top w:val="none" w:sz="0" w:space="0" w:color="auto"/>
        <w:left w:val="none" w:sz="0" w:space="0" w:color="auto"/>
        <w:bottom w:val="none" w:sz="0" w:space="0" w:color="auto"/>
        <w:right w:val="none" w:sz="0" w:space="0" w:color="auto"/>
      </w:divBdr>
      <w:divsChild>
        <w:div w:id="847864314">
          <w:marLeft w:val="-720"/>
          <w:marRight w:val="0"/>
          <w:marTop w:val="0"/>
          <w:marBottom w:val="0"/>
          <w:divBdr>
            <w:top w:val="none" w:sz="0" w:space="0" w:color="auto"/>
            <w:left w:val="none" w:sz="0" w:space="0" w:color="auto"/>
            <w:bottom w:val="none" w:sz="0" w:space="0" w:color="auto"/>
            <w:right w:val="none" w:sz="0" w:space="0" w:color="auto"/>
          </w:divBdr>
        </w:div>
      </w:divsChild>
    </w:div>
    <w:div w:id="1198354932">
      <w:bodyDiv w:val="1"/>
      <w:marLeft w:val="0"/>
      <w:marRight w:val="0"/>
      <w:marTop w:val="0"/>
      <w:marBottom w:val="0"/>
      <w:divBdr>
        <w:top w:val="none" w:sz="0" w:space="0" w:color="auto"/>
        <w:left w:val="none" w:sz="0" w:space="0" w:color="auto"/>
        <w:bottom w:val="none" w:sz="0" w:space="0" w:color="auto"/>
        <w:right w:val="none" w:sz="0" w:space="0" w:color="auto"/>
      </w:divBdr>
      <w:divsChild>
        <w:div w:id="553393810">
          <w:marLeft w:val="0"/>
          <w:marRight w:val="0"/>
          <w:marTop w:val="0"/>
          <w:marBottom w:val="0"/>
          <w:divBdr>
            <w:top w:val="none" w:sz="0" w:space="0" w:color="auto"/>
            <w:left w:val="none" w:sz="0" w:space="0" w:color="auto"/>
            <w:bottom w:val="none" w:sz="0" w:space="0" w:color="auto"/>
            <w:right w:val="none" w:sz="0" w:space="0" w:color="auto"/>
          </w:divBdr>
        </w:div>
      </w:divsChild>
    </w:div>
    <w:div w:id="1202941564">
      <w:bodyDiv w:val="1"/>
      <w:marLeft w:val="0"/>
      <w:marRight w:val="0"/>
      <w:marTop w:val="0"/>
      <w:marBottom w:val="0"/>
      <w:divBdr>
        <w:top w:val="none" w:sz="0" w:space="0" w:color="auto"/>
        <w:left w:val="none" w:sz="0" w:space="0" w:color="auto"/>
        <w:bottom w:val="none" w:sz="0" w:space="0" w:color="auto"/>
        <w:right w:val="none" w:sz="0" w:space="0" w:color="auto"/>
      </w:divBdr>
    </w:div>
    <w:div w:id="1206865530">
      <w:bodyDiv w:val="1"/>
      <w:marLeft w:val="0"/>
      <w:marRight w:val="0"/>
      <w:marTop w:val="0"/>
      <w:marBottom w:val="0"/>
      <w:divBdr>
        <w:top w:val="none" w:sz="0" w:space="0" w:color="auto"/>
        <w:left w:val="none" w:sz="0" w:space="0" w:color="auto"/>
        <w:bottom w:val="none" w:sz="0" w:space="0" w:color="auto"/>
        <w:right w:val="none" w:sz="0" w:space="0" w:color="auto"/>
      </w:divBdr>
    </w:div>
    <w:div w:id="1208176469">
      <w:bodyDiv w:val="1"/>
      <w:marLeft w:val="0"/>
      <w:marRight w:val="0"/>
      <w:marTop w:val="0"/>
      <w:marBottom w:val="0"/>
      <w:divBdr>
        <w:top w:val="none" w:sz="0" w:space="0" w:color="auto"/>
        <w:left w:val="none" w:sz="0" w:space="0" w:color="auto"/>
        <w:bottom w:val="none" w:sz="0" w:space="0" w:color="auto"/>
        <w:right w:val="none" w:sz="0" w:space="0" w:color="auto"/>
      </w:divBdr>
    </w:div>
    <w:div w:id="1211501418">
      <w:bodyDiv w:val="1"/>
      <w:marLeft w:val="0"/>
      <w:marRight w:val="0"/>
      <w:marTop w:val="0"/>
      <w:marBottom w:val="0"/>
      <w:divBdr>
        <w:top w:val="none" w:sz="0" w:space="0" w:color="auto"/>
        <w:left w:val="none" w:sz="0" w:space="0" w:color="auto"/>
        <w:bottom w:val="none" w:sz="0" w:space="0" w:color="auto"/>
        <w:right w:val="none" w:sz="0" w:space="0" w:color="auto"/>
      </w:divBdr>
    </w:div>
    <w:div w:id="1217931174">
      <w:bodyDiv w:val="1"/>
      <w:marLeft w:val="0"/>
      <w:marRight w:val="0"/>
      <w:marTop w:val="0"/>
      <w:marBottom w:val="0"/>
      <w:divBdr>
        <w:top w:val="none" w:sz="0" w:space="0" w:color="auto"/>
        <w:left w:val="none" w:sz="0" w:space="0" w:color="auto"/>
        <w:bottom w:val="none" w:sz="0" w:space="0" w:color="auto"/>
        <w:right w:val="none" w:sz="0" w:space="0" w:color="auto"/>
      </w:divBdr>
    </w:div>
    <w:div w:id="1226258385">
      <w:bodyDiv w:val="1"/>
      <w:marLeft w:val="0"/>
      <w:marRight w:val="0"/>
      <w:marTop w:val="0"/>
      <w:marBottom w:val="0"/>
      <w:divBdr>
        <w:top w:val="none" w:sz="0" w:space="0" w:color="auto"/>
        <w:left w:val="none" w:sz="0" w:space="0" w:color="auto"/>
        <w:bottom w:val="none" w:sz="0" w:space="0" w:color="auto"/>
        <w:right w:val="none" w:sz="0" w:space="0" w:color="auto"/>
      </w:divBdr>
    </w:div>
    <w:div w:id="1228806261">
      <w:bodyDiv w:val="1"/>
      <w:marLeft w:val="0"/>
      <w:marRight w:val="0"/>
      <w:marTop w:val="0"/>
      <w:marBottom w:val="0"/>
      <w:divBdr>
        <w:top w:val="none" w:sz="0" w:space="0" w:color="auto"/>
        <w:left w:val="none" w:sz="0" w:space="0" w:color="auto"/>
        <w:bottom w:val="none" w:sz="0" w:space="0" w:color="auto"/>
        <w:right w:val="none" w:sz="0" w:space="0" w:color="auto"/>
      </w:divBdr>
    </w:div>
    <w:div w:id="1235509611">
      <w:bodyDiv w:val="1"/>
      <w:marLeft w:val="0"/>
      <w:marRight w:val="0"/>
      <w:marTop w:val="0"/>
      <w:marBottom w:val="0"/>
      <w:divBdr>
        <w:top w:val="none" w:sz="0" w:space="0" w:color="auto"/>
        <w:left w:val="none" w:sz="0" w:space="0" w:color="auto"/>
        <w:bottom w:val="none" w:sz="0" w:space="0" w:color="auto"/>
        <w:right w:val="none" w:sz="0" w:space="0" w:color="auto"/>
      </w:divBdr>
    </w:div>
    <w:div w:id="1239293939">
      <w:bodyDiv w:val="1"/>
      <w:marLeft w:val="0"/>
      <w:marRight w:val="0"/>
      <w:marTop w:val="0"/>
      <w:marBottom w:val="0"/>
      <w:divBdr>
        <w:top w:val="none" w:sz="0" w:space="0" w:color="auto"/>
        <w:left w:val="none" w:sz="0" w:space="0" w:color="auto"/>
        <w:bottom w:val="none" w:sz="0" w:space="0" w:color="auto"/>
        <w:right w:val="none" w:sz="0" w:space="0" w:color="auto"/>
      </w:divBdr>
    </w:div>
    <w:div w:id="1294214475">
      <w:bodyDiv w:val="1"/>
      <w:marLeft w:val="0"/>
      <w:marRight w:val="0"/>
      <w:marTop w:val="0"/>
      <w:marBottom w:val="0"/>
      <w:divBdr>
        <w:top w:val="none" w:sz="0" w:space="0" w:color="auto"/>
        <w:left w:val="none" w:sz="0" w:space="0" w:color="auto"/>
        <w:bottom w:val="none" w:sz="0" w:space="0" w:color="auto"/>
        <w:right w:val="none" w:sz="0" w:space="0" w:color="auto"/>
      </w:divBdr>
    </w:div>
    <w:div w:id="1299456012">
      <w:bodyDiv w:val="1"/>
      <w:marLeft w:val="0"/>
      <w:marRight w:val="0"/>
      <w:marTop w:val="0"/>
      <w:marBottom w:val="0"/>
      <w:divBdr>
        <w:top w:val="none" w:sz="0" w:space="0" w:color="auto"/>
        <w:left w:val="none" w:sz="0" w:space="0" w:color="auto"/>
        <w:bottom w:val="none" w:sz="0" w:space="0" w:color="auto"/>
        <w:right w:val="none" w:sz="0" w:space="0" w:color="auto"/>
      </w:divBdr>
      <w:divsChild>
        <w:div w:id="1599487189">
          <w:marLeft w:val="-720"/>
          <w:marRight w:val="0"/>
          <w:marTop w:val="0"/>
          <w:marBottom w:val="0"/>
          <w:divBdr>
            <w:top w:val="none" w:sz="0" w:space="0" w:color="auto"/>
            <w:left w:val="none" w:sz="0" w:space="0" w:color="auto"/>
            <w:bottom w:val="none" w:sz="0" w:space="0" w:color="auto"/>
            <w:right w:val="none" w:sz="0" w:space="0" w:color="auto"/>
          </w:divBdr>
        </w:div>
      </w:divsChild>
    </w:div>
    <w:div w:id="1300761863">
      <w:bodyDiv w:val="1"/>
      <w:marLeft w:val="0"/>
      <w:marRight w:val="0"/>
      <w:marTop w:val="0"/>
      <w:marBottom w:val="0"/>
      <w:divBdr>
        <w:top w:val="none" w:sz="0" w:space="0" w:color="auto"/>
        <w:left w:val="none" w:sz="0" w:space="0" w:color="auto"/>
        <w:bottom w:val="none" w:sz="0" w:space="0" w:color="auto"/>
        <w:right w:val="none" w:sz="0" w:space="0" w:color="auto"/>
      </w:divBdr>
    </w:div>
    <w:div w:id="1307976749">
      <w:bodyDiv w:val="1"/>
      <w:marLeft w:val="0"/>
      <w:marRight w:val="0"/>
      <w:marTop w:val="0"/>
      <w:marBottom w:val="0"/>
      <w:divBdr>
        <w:top w:val="none" w:sz="0" w:space="0" w:color="auto"/>
        <w:left w:val="none" w:sz="0" w:space="0" w:color="auto"/>
        <w:bottom w:val="none" w:sz="0" w:space="0" w:color="auto"/>
        <w:right w:val="none" w:sz="0" w:space="0" w:color="auto"/>
      </w:divBdr>
    </w:div>
    <w:div w:id="1311982236">
      <w:bodyDiv w:val="1"/>
      <w:marLeft w:val="0"/>
      <w:marRight w:val="0"/>
      <w:marTop w:val="0"/>
      <w:marBottom w:val="0"/>
      <w:divBdr>
        <w:top w:val="none" w:sz="0" w:space="0" w:color="auto"/>
        <w:left w:val="none" w:sz="0" w:space="0" w:color="auto"/>
        <w:bottom w:val="none" w:sz="0" w:space="0" w:color="auto"/>
        <w:right w:val="none" w:sz="0" w:space="0" w:color="auto"/>
      </w:divBdr>
    </w:div>
    <w:div w:id="1314869662">
      <w:bodyDiv w:val="1"/>
      <w:marLeft w:val="0"/>
      <w:marRight w:val="0"/>
      <w:marTop w:val="0"/>
      <w:marBottom w:val="0"/>
      <w:divBdr>
        <w:top w:val="none" w:sz="0" w:space="0" w:color="auto"/>
        <w:left w:val="none" w:sz="0" w:space="0" w:color="auto"/>
        <w:bottom w:val="none" w:sz="0" w:space="0" w:color="auto"/>
        <w:right w:val="none" w:sz="0" w:space="0" w:color="auto"/>
      </w:divBdr>
    </w:div>
    <w:div w:id="1315143336">
      <w:bodyDiv w:val="1"/>
      <w:marLeft w:val="0"/>
      <w:marRight w:val="0"/>
      <w:marTop w:val="0"/>
      <w:marBottom w:val="0"/>
      <w:divBdr>
        <w:top w:val="none" w:sz="0" w:space="0" w:color="auto"/>
        <w:left w:val="none" w:sz="0" w:space="0" w:color="auto"/>
        <w:bottom w:val="none" w:sz="0" w:space="0" w:color="auto"/>
        <w:right w:val="none" w:sz="0" w:space="0" w:color="auto"/>
      </w:divBdr>
    </w:div>
    <w:div w:id="1317033788">
      <w:bodyDiv w:val="1"/>
      <w:marLeft w:val="0"/>
      <w:marRight w:val="0"/>
      <w:marTop w:val="0"/>
      <w:marBottom w:val="0"/>
      <w:divBdr>
        <w:top w:val="none" w:sz="0" w:space="0" w:color="auto"/>
        <w:left w:val="none" w:sz="0" w:space="0" w:color="auto"/>
        <w:bottom w:val="none" w:sz="0" w:space="0" w:color="auto"/>
        <w:right w:val="none" w:sz="0" w:space="0" w:color="auto"/>
      </w:divBdr>
    </w:div>
    <w:div w:id="1330329802">
      <w:bodyDiv w:val="1"/>
      <w:marLeft w:val="0"/>
      <w:marRight w:val="0"/>
      <w:marTop w:val="0"/>
      <w:marBottom w:val="0"/>
      <w:divBdr>
        <w:top w:val="none" w:sz="0" w:space="0" w:color="auto"/>
        <w:left w:val="none" w:sz="0" w:space="0" w:color="auto"/>
        <w:bottom w:val="none" w:sz="0" w:space="0" w:color="auto"/>
        <w:right w:val="none" w:sz="0" w:space="0" w:color="auto"/>
      </w:divBdr>
    </w:div>
    <w:div w:id="1331055718">
      <w:bodyDiv w:val="1"/>
      <w:marLeft w:val="0"/>
      <w:marRight w:val="0"/>
      <w:marTop w:val="0"/>
      <w:marBottom w:val="0"/>
      <w:divBdr>
        <w:top w:val="none" w:sz="0" w:space="0" w:color="auto"/>
        <w:left w:val="none" w:sz="0" w:space="0" w:color="auto"/>
        <w:bottom w:val="none" w:sz="0" w:space="0" w:color="auto"/>
        <w:right w:val="none" w:sz="0" w:space="0" w:color="auto"/>
      </w:divBdr>
    </w:div>
    <w:div w:id="1336683643">
      <w:bodyDiv w:val="1"/>
      <w:marLeft w:val="0"/>
      <w:marRight w:val="0"/>
      <w:marTop w:val="0"/>
      <w:marBottom w:val="0"/>
      <w:divBdr>
        <w:top w:val="none" w:sz="0" w:space="0" w:color="auto"/>
        <w:left w:val="none" w:sz="0" w:space="0" w:color="auto"/>
        <w:bottom w:val="none" w:sz="0" w:space="0" w:color="auto"/>
        <w:right w:val="none" w:sz="0" w:space="0" w:color="auto"/>
      </w:divBdr>
    </w:div>
    <w:div w:id="1339622365">
      <w:bodyDiv w:val="1"/>
      <w:marLeft w:val="0"/>
      <w:marRight w:val="0"/>
      <w:marTop w:val="0"/>
      <w:marBottom w:val="0"/>
      <w:divBdr>
        <w:top w:val="none" w:sz="0" w:space="0" w:color="auto"/>
        <w:left w:val="none" w:sz="0" w:space="0" w:color="auto"/>
        <w:bottom w:val="none" w:sz="0" w:space="0" w:color="auto"/>
        <w:right w:val="none" w:sz="0" w:space="0" w:color="auto"/>
      </w:divBdr>
      <w:divsChild>
        <w:div w:id="1977489892">
          <w:marLeft w:val="0"/>
          <w:marRight w:val="0"/>
          <w:marTop w:val="0"/>
          <w:marBottom w:val="0"/>
          <w:divBdr>
            <w:top w:val="none" w:sz="0" w:space="0" w:color="auto"/>
            <w:left w:val="none" w:sz="0" w:space="0" w:color="auto"/>
            <w:bottom w:val="none" w:sz="0" w:space="0" w:color="auto"/>
            <w:right w:val="none" w:sz="0" w:space="0" w:color="auto"/>
          </w:divBdr>
        </w:div>
      </w:divsChild>
    </w:div>
    <w:div w:id="1341615706">
      <w:bodyDiv w:val="1"/>
      <w:marLeft w:val="0"/>
      <w:marRight w:val="0"/>
      <w:marTop w:val="0"/>
      <w:marBottom w:val="0"/>
      <w:divBdr>
        <w:top w:val="none" w:sz="0" w:space="0" w:color="auto"/>
        <w:left w:val="none" w:sz="0" w:space="0" w:color="auto"/>
        <w:bottom w:val="none" w:sz="0" w:space="0" w:color="auto"/>
        <w:right w:val="none" w:sz="0" w:space="0" w:color="auto"/>
      </w:divBdr>
    </w:div>
    <w:div w:id="1355958175">
      <w:bodyDiv w:val="1"/>
      <w:marLeft w:val="0"/>
      <w:marRight w:val="0"/>
      <w:marTop w:val="0"/>
      <w:marBottom w:val="0"/>
      <w:divBdr>
        <w:top w:val="none" w:sz="0" w:space="0" w:color="auto"/>
        <w:left w:val="none" w:sz="0" w:space="0" w:color="auto"/>
        <w:bottom w:val="none" w:sz="0" w:space="0" w:color="auto"/>
        <w:right w:val="none" w:sz="0" w:space="0" w:color="auto"/>
      </w:divBdr>
    </w:div>
    <w:div w:id="1358848785">
      <w:bodyDiv w:val="1"/>
      <w:marLeft w:val="0"/>
      <w:marRight w:val="0"/>
      <w:marTop w:val="0"/>
      <w:marBottom w:val="0"/>
      <w:divBdr>
        <w:top w:val="none" w:sz="0" w:space="0" w:color="auto"/>
        <w:left w:val="none" w:sz="0" w:space="0" w:color="auto"/>
        <w:bottom w:val="none" w:sz="0" w:space="0" w:color="auto"/>
        <w:right w:val="none" w:sz="0" w:space="0" w:color="auto"/>
      </w:divBdr>
    </w:div>
    <w:div w:id="1370951840">
      <w:bodyDiv w:val="1"/>
      <w:marLeft w:val="0"/>
      <w:marRight w:val="0"/>
      <w:marTop w:val="0"/>
      <w:marBottom w:val="0"/>
      <w:divBdr>
        <w:top w:val="none" w:sz="0" w:space="0" w:color="auto"/>
        <w:left w:val="none" w:sz="0" w:space="0" w:color="auto"/>
        <w:bottom w:val="none" w:sz="0" w:space="0" w:color="auto"/>
        <w:right w:val="none" w:sz="0" w:space="0" w:color="auto"/>
      </w:divBdr>
      <w:divsChild>
        <w:div w:id="431631035">
          <w:marLeft w:val="0"/>
          <w:marRight w:val="0"/>
          <w:marTop w:val="0"/>
          <w:marBottom w:val="0"/>
          <w:divBdr>
            <w:top w:val="none" w:sz="0" w:space="0" w:color="auto"/>
            <w:left w:val="none" w:sz="0" w:space="0" w:color="auto"/>
            <w:bottom w:val="none" w:sz="0" w:space="0" w:color="auto"/>
            <w:right w:val="none" w:sz="0" w:space="0" w:color="auto"/>
          </w:divBdr>
        </w:div>
      </w:divsChild>
    </w:div>
    <w:div w:id="1381173811">
      <w:bodyDiv w:val="1"/>
      <w:marLeft w:val="0"/>
      <w:marRight w:val="0"/>
      <w:marTop w:val="0"/>
      <w:marBottom w:val="0"/>
      <w:divBdr>
        <w:top w:val="none" w:sz="0" w:space="0" w:color="auto"/>
        <w:left w:val="none" w:sz="0" w:space="0" w:color="auto"/>
        <w:bottom w:val="none" w:sz="0" w:space="0" w:color="auto"/>
        <w:right w:val="none" w:sz="0" w:space="0" w:color="auto"/>
      </w:divBdr>
    </w:div>
    <w:div w:id="1383408040">
      <w:bodyDiv w:val="1"/>
      <w:marLeft w:val="0"/>
      <w:marRight w:val="0"/>
      <w:marTop w:val="0"/>
      <w:marBottom w:val="0"/>
      <w:divBdr>
        <w:top w:val="none" w:sz="0" w:space="0" w:color="auto"/>
        <w:left w:val="none" w:sz="0" w:space="0" w:color="auto"/>
        <w:bottom w:val="none" w:sz="0" w:space="0" w:color="auto"/>
        <w:right w:val="none" w:sz="0" w:space="0" w:color="auto"/>
      </w:divBdr>
      <w:divsChild>
        <w:div w:id="143087967">
          <w:marLeft w:val="0"/>
          <w:marRight w:val="0"/>
          <w:marTop w:val="0"/>
          <w:marBottom w:val="0"/>
          <w:divBdr>
            <w:top w:val="none" w:sz="0" w:space="0" w:color="auto"/>
            <w:left w:val="none" w:sz="0" w:space="0" w:color="auto"/>
            <w:bottom w:val="none" w:sz="0" w:space="0" w:color="auto"/>
            <w:right w:val="none" w:sz="0" w:space="0" w:color="auto"/>
          </w:divBdr>
          <w:divsChild>
            <w:div w:id="45225539">
              <w:marLeft w:val="0"/>
              <w:marRight w:val="0"/>
              <w:marTop w:val="0"/>
              <w:marBottom w:val="0"/>
              <w:divBdr>
                <w:top w:val="none" w:sz="0" w:space="0" w:color="auto"/>
                <w:left w:val="none" w:sz="0" w:space="0" w:color="auto"/>
                <w:bottom w:val="none" w:sz="0" w:space="0" w:color="auto"/>
                <w:right w:val="none" w:sz="0" w:space="0" w:color="auto"/>
              </w:divBdr>
            </w:div>
          </w:divsChild>
        </w:div>
        <w:div w:id="691566988">
          <w:marLeft w:val="0"/>
          <w:marRight w:val="0"/>
          <w:marTop w:val="0"/>
          <w:marBottom w:val="0"/>
          <w:divBdr>
            <w:top w:val="none" w:sz="0" w:space="0" w:color="auto"/>
            <w:left w:val="none" w:sz="0" w:space="0" w:color="auto"/>
            <w:bottom w:val="none" w:sz="0" w:space="0" w:color="auto"/>
            <w:right w:val="none" w:sz="0" w:space="0" w:color="auto"/>
          </w:divBdr>
          <w:divsChild>
            <w:div w:id="680207453">
              <w:marLeft w:val="0"/>
              <w:marRight w:val="0"/>
              <w:marTop w:val="0"/>
              <w:marBottom w:val="0"/>
              <w:divBdr>
                <w:top w:val="none" w:sz="0" w:space="0" w:color="auto"/>
                <w:left w:val="none" w:sz="0" w:space="0" w:color="auto"/>
                <w:bottom w:val="none" w:sz="0" w:space="0" w:color="auto"/>
                <w:right w:val="none" w:sz="0" w:space="0" w:color="auto"/>
              </w:divBdr>
            </w:div>
          </w:divsChild>
        </w:div>
        <w:div w:id="1087920576">
          <w:marLeft w:val="0"/>
          <w:marRight w:val="0"/>
          <w:marTop w:val="0"/>
          <w:marBottom w:val="0"/>
          <w:divBdr>
            <w:top w:val="none" w:sz="0" w:space="0" w:color="auto"/>
            <w:left w:val="none" w:sz="0" w:space="0" w:color="auto"/>
            <w:bottom w:val="none" w:sz="0" w:space="0" w:color="auto"/>
            <w:right w:val="none" w:sz="0" w:space="0" w:color="auto"/>
          </w:divBdr>
          <w:divsChild>
            <w:div w:id="782311811">
              <w:marLeft w:val="0"/>
              <w:marRight w:val="0"/>
              <w:marTop w:val="0"/>
              <w:marBottom w:val="0"/>
              <w:divBdr>
                <w:top w:val="none" w:sz="0" w:space="0" w:color="auto"/>
                <w:left w:val="none" w:sz="0" w:space="0" w:color="auto"/>
                <w:bottom w:val="none" w:sz="0" w:space="0" w:color="auto"/>
                <w:right w:val="none" w:sz="0" w:space="0" w:color="auto"/>
              </w:divBdr>
            </w:div>
          </w:divsChild>
        </w:div>
        <w:div w:id="1607152539">
          <w:marLeft w:val="0"/>
          <w:marRight w:val="0"/>
          <w:marTop w:val="0"/>
          <w:marBottom w:val="0"/>
          <w:divBdr>
            <w:top w:val="none" w:sz="0" w:space="0" w:color="auto"/>
            <w:left w:val="none" w:sz="0" w:space="0" w:color="auto"/>
            <w:bottom w:val="none" w:sz="0" w:space="0" w:color="auto"/>
            <w:right w:val="none" w:sz="0" w:space="0" w:color="auto"/>
          </w:divBdr>
          <w:divsChild>
            <w:div w:id="1258095275">
              <w:marLeft w:val="0"/>
              <w:marRight w:val="0"/>
              <w:marTop w:val="0"/>
              <w:marBottom w:val="0"/>
              <w:divBdr>
                <w:top w:val="none" w:sz="0" w:space="0" w:color="auto"/>
                <w:left w:val="none" w:sz="0" w:space="0" w:color="auto"/>
                <w:bottom w:val="none" w:sz="0" w:space="0" w:color="auto"/>
                <w:right w:val="none" w:sz="0" w:space="0" w:color="auto"/>
              </w:divBdr>
            </w:div>
          </w:divsChild>
        </w:div>
        <w:div w:id="1788966952">
          <w:marLeft w:val="0"/>
          <w:marRight w:val="0"/>
          <w:marTop w:val="0"/>
          <w:marBottom w:val="0"/>
          <w:divBdr>
            <w:top w:val="none" w:sz="0" w:space="0" w:color="auto"/>
            <w:left w:val="none" w:sz="0" w:space="0" w:color="auto"/>
            <w:bottom w:val="none" w:sz="0" w:space="0" w:color="auto"/>
            <w:right w:val="none" w:sz="0" w:space="0" w:color="auto"/>
          </w:divBdr>
          <w:divsChild>
            <w:div w:id="402290395">
              <w:marLeft w:val="0"/>
              <w:marRight w:val="0"/>
              <w:marTop w:val="0"/>
              <w:marBottom w:val="0"/>
              <w:divBdr>
                <w:top w:val="none" w:sz="0" w:space="0" w:color="auto"/>
                <w:left w:val="none" w:sz="0" w:space="0" w:color="auto"/>
                <w:bottom w:val="none" w:sz="0" w:space="0" w:color="auto"/>
                <w:right w:val="none" w:sz="0" w:space="0" w:color="auto"/>
              </w:divBdr>
            </w:div>
          </w:divsChild>
        </w:div>
        <w:div w:id="1931423030">
          <w:marLeft w:val="0"/>
          <w:marRight w:val="0"/>
          <w:marTop w:val="0"/>
          <w:marBottom w:val="0"/>
          <w:divBdr>
            <w:top w:val="none" w:sz="0" w:space="0" w:color="auto"/>
            <w:left w:val="none" w:sz="0" w:space="0" w:color="auto"/>
            <w:bottom w:val="none" w:sz="0" w:space="0" w:color="auto"/>
            <w:right w:val="none" w:sz="0" w:space="0" w:color="auto"/>
          </w:divBdr>
          <w:divsChild>
            <w:div w:id="398601065">
              <w:marLeft w:val="0"/>
              <w:marRight w:val="0"/>
              <w:marTop w:val="0"/>
              <w:marBottom w:val="0"/>
              <w:divBdr>
                <w:top w:val="none" w:sz="0" w:space="0" w:color="auto"/>
                <w:left w:val="none" w:sz="0" w:space="0" w:color="auto"/>
                <w:bottom w:val="none" w:sz="0" w:space="0" w:color="auto"/>
                <w:right w:val="none" w:sz="0" w:space="0" w:color="auto"/>
              </w:divBdr>
            </w:div>
          </w:divsChild>
        </w:div>
        <w:div w:id="2033918742">
          <w:marLeft w:val="0"/>
          <w:marRight w:val="0"/>
          <w:marTop w:val="0"/>
          <w:marBottom w:val="0"/>
          <w:divBdr>
            <w:top w:val="none" w:sz="0" w:space="0" w:color="auto"/>
            <w:left w:val="none" w:sz="0" w:space="0" w:color="auto"/>
            <w:bottom w:val="none" w:sz="0" w:space="0" w:color="auto"/>
            <w:right w:val="none" w:sz="0" w:space="0" w:color="auto"/>
          </w:divBdr>
          <w:divsChild>
            <w:div w:id="137523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1488">
      <w:bodyDiv w:val="1"/>
      <w:marLeft w:val="0"/>
      <w:marRight w:val="0"/>
      <w:marTop w:val="0"/>
      <w:marBottom w:val="0"/>
      <w:divBdr>
        <w:top w:val="none" w:sz="0" w:space="0" w:color="auto"/>
        <w:left w:val="none" w:sz="0" w:space="0" w:color="auto"/>
        <w:bottom w:val="none" w:sz="0" w:space="0" w:color="auto"/>
        <w:right w:val="none" w:sz="0" w:space="0" w:color="auto"/>
      </w:divBdr>
      <w:divsChild>
        <w:div w:id="528493176">
          <w:marLeft w:val="0"/>
          <w:marRight w:val="0"/>
          <w:marTop w:val="0"/>
          <w:marBottom w:val="0"/>
          <w:divBdr>
            <w:top w:val="none" w:sz="0" w:space="0" w:color="auto"/>
            <w:left w:val="none" w:sz="0" w:space="0" w:color="auto"/>
            <w:bottom w:val="none" w:sz="0" w:space="0" w:color="auto"/>
            <w:right w:val="none" w:sz="0" w:space="0" w:color="auto"/>
          </w:divBdr>
        </w:div>
        <w:div w:id="1827237725">
          <w:marLeft w:val="0"/>
          <w:marRight w:val="0"/>
          <w:marTop w:val="0"/>
          <w:marBottom w:val="0"/>
          <w:divBdr>
            <w:top w:val="none" w:sz="0" w:space="0" w:color="auto"/>
            <w:left w:val="none" w:sz="0" w:space="0" w:color="auto"/>
            <w:bottom w:val="none" w:sz="0" w:space="0" w:color="auto"/>
            <w:right w:val="none" w:sz="0" w:space="0" w:color="auto"/>
          </w:divBdr>
        </w:div>
        <w:div w:id="1252082885">
          <w:marLeft w:val="0"/>
          <w:marRight w:val="0"/>
          <w:marTop w:val="0"/>
          <w:marBottom w:val="0"/>
          <w:divBdr>
            <w:top w:val="none" w:sz="0" w:space="0" w:color="auto"/>
            <w:left w:val="none" w:sz="0" w:space="0" w:color="auto"/>
            <w:bottom w:val="none" w:sz="0" w:space="0" w:color="auto"/>
            <w:right w:val="none" w:sz="0" w:space="0" w:color="auto"/>
          </w:divBdr>
        </w:div>
      </w:divsChild>
    </w:div>
    <w:div w:id="1386876469">
      <w:bodyDiv w:val="1"/>
      <w:marLeft w:val="0"/>
      <w:marRight w:val="0"/>
      <w:marTop w:val="0"/>
      <w:marBottom w:val="0"/>
      <w:divBdr>
        <w:top w:val="none" w:sz="0" w:space="0" w:color="auto"/>
        <w:left w:val="none" w:sz="0" w:space="0" w:color="auto"/>
        <w:bottom w:val="none" w:sz="0" w:space="0" w:color="auto"/>
        <w:right w:val="none" w:sz="0" w:space="0" w:color="auto"/>
      </w:divBdr>
    </w:div>
    <w:div w:id="1392733579">
      <w:bodyDiv w:val="1"/>
      <w:marLeft w:val="0"/>
      <w:marRight w:val="0"/>
      <w:marTop w:val="0"/>
      <w:marBottom w:val="0"/>
      <w:divBdr>
        <w:top w:val="none" w:sz="0" w:space="0" w:color="auto"/>
        <w:left w:val="none" w:sz="0" w:space="0" w:color="auto"/>
        <w:bottom w:val="none" w:sz="0" w:space="0" w:color="auto"/>
        <w:right w:val="none" w:sz="0" w:space="0" w:color="auto"/>
      </w:divBdr>
    </w:div>
    <w:div w:id="1393507482">
      <w:bodyDiv w:val="1"/>
      <w:marLeft w:val="0"/>
      <w:marRight w:val="0"/>
      <w:marTop w:val="0"/>
      <w:marBottom w:val="0"/>
      <w:divBdr>
        <w:top w:val="none" w:sz="0" w:space="0" w:color="auto"/>
        <w:left w:val="none" w:sz="0" w:space="0" w:color="auto"/>
        <w:bottom w:val="none" w:sz="0" w:space="0" w:color="auto"/>
        <w:right w:val="none" w:sz="0" w:space="0" w:color="auto"/>
      </w:divBdr>
    </w:div>
    <w:div w:id="1406757256">
      <w:bodyDiv w:val="1"/>
      <w:marLeft w:val="0"/>
      <w:marRight w:val="0"/>
      <w:marTop w:val="0"/>
      <w:marBottom w:val="0"/>
      <w:divBdr>
        <w:top w:val="none" w:sz="0" w:space="0" w:color="auto"/>
        <w:left w:val="none" w:sz="0" w:space="0" w:color="auto"/>
        <w:bottom w:val="none" w:sz="0" w:space="0" w:color="auto"/>
        <w:right w:val="none" w:sz="0" w:space="0" w:color="auto"/>
      </w:divBdr>
    </w:div>
    <w:div w:id="1408531333">
      <w:bodyDiv w:val="1"/>
      <w:marLeft w:val="0"/>
      <w:marRight w:val="0"/>
      <w:marTop w:val="0"/>
      <w:marBottom w:val="0"/>
      <w:divBdr>
        <w:top w:val="none" w:sz="0" w:space="0" w:color="auto"/>
        <w:left w:val="none" w:sz="0" w:space="0" w:color="auto"/>
        <w:bottom w:val="none" w:sz="0" w:space="0" w:color="auto"/>
        <w:right w:val="none" w:sz="0" w:space="0" w:color="auto"/>
      </w:divBdr>
    </w:div>
    <w:div w:id="1419475316">
      <w:bodyDiv w:val="1"/>
      <w:marLeft w:val="0"/>
      <w:marRight w:val="0"/>
      <w:marTop w:val="0"/>
      <w:marBottom w:val="0"/>
      <w:divBdr>
        <w:top w:val="none" w:sz="0" w:space="0" w:color="auto"/>
        <w:left w:val="none" w:sz="0" w:space="0" w:color="auto"/>
        <w:bottom w:val="none" w:sz="0" w:space="0" w:color="auto"/>
        <w:right w:val="none" w:sz="0" w:space="0" w:color="auto"/>
      </w:divBdr>
    </w:div>
    <w:div w:id="1426881508">
      <w:bodyDiv w:val="1"/>
      <w:marLeft w:val="0"/>
      <w:marRight w:val="0"/>
      <w:marTop w:val="0"/>
      <w:marBottom w:val="0"/>
      <w:divBdr>
        <w:top w:val="none" w:sz="0" w:space="0" w:color="auto"/>
        <w:left w:val="none" w:sz="0" w:space="0" w:color="auto"/>
        <w:bottom w:val="none" w:sz="0" w:space="0" w:color="auto"/>
        <w:right w:val="none" w:sz="0" w:space="0" w:color="auto"/>
      </w:divBdr>
    </w:div>
    <w:div w:id="1431971952">
      <w:bodyDiv w:val="1"/>
      <w:marLeft w:val="0"/>
      <w:marRight w:val="0"/>
      <w:marTop w:val="0"/>
      <w:marBottom w:val="0"/>
      <w:divBdr>
        <w:top w:val="none" w:sz="0" w:space="0" w:color="auto"/>
        <w:left w:val="none" w:sz="0" w:space="0" w:color="auto"/>
        <w:bottom w:val="none" w:sz="0" w:space="0" w:color="auto"/>
        <w:right w:val="none" w:sz="0" w:space="0" w:color="auto"/>
      </w:divBdr>
    </w:div>
    <w:div w:id="1466657363">
      <w:bodyDiv w:val="1"/>
      <w:marLeft w:val="0"/>
      <w:marRight w:val="0"/>
      <w:marTop w:val="0"/>
      <w:marBottom w:val="0"/>
      <w:divBdr>
        <w:top w:val="none" w:sz="0" w:space="0" w:color="auto"/>
        <w:left w:val="none" w:sz="0" w:space="0" w:color="auto"/>
        <w:bottom w:val="none" w:sz="0" w:space="0" w:color="auto"/>
        <w:right w:val="none" w:sz="0" w:space="0" w:color="auto"/>
      </w:divBdr>
    </w:div>
    <w:div w:id="1474132592">
      <w:bodyDiv w:val="1"/>
      <w:marLeft w:val="0"/>
      <w:marRight w:val="0"/>
      <w:marTop w:val="0"/>
      <w:marBottom w:val="0"/>
      <w:divBdr>
        <w:top w:val="none" w:sz="0" w:space="0" w:color="auto"/>
        <w:left w:val="none" w:sz="0" w:space="0" w:color="auto"/>
        <w:bottom w:val="none" w:sz="0" w:space="0" w:color="auto"/>
        <w:right w:val="none" w:sz="0" w:space="0" w:color="auto"/>
      </w:divBdr>
      <w:divsChild>
        <w:div w:id="1459957205">
          <w:marLeft w:val="0"/>
          <w:marRight w:val="0"/>
          <w:marTop w:val="0"/>
          <w:marBottom w:val="0"/>
          <w:divBdr>
            <w:top w:val="none" w:sz="0" w:space="0" w:color="auto"/>
            <w:left w:val="none" w:sz="0" w:space="0" w:color="auto"/>
            <w:bottom w:val="none" w:sz="0" w:space="0" w:color="auto"/>
            <w:right w:val="none" w:sz="0" w:space="0" w:color="auto"/>
          </w:divBdr>
        </w:div>
      </w:divsChild>
    </w:div>
    <w:div w:id="1484002357">
      <w:bodyDiv w:val="1"/>
      <w:marLeft w:val="0"/>
      <w:marRight w:val="0"/>
      <w:marTop w:val="0"/>
      <w:marBottom w:val="0"/>
      <w:divBdr>
        <w:top w:val="none" w:sz="0" w:space="0" w:color="auto"/>
        <w:left w:val="none" w:sz="0" w:space="0" w:color="auto"/>
        <w:bottom w:val="none" w:sz="0" w:space="0" w:color="auto"/>
        <w:right w:val="none" w:sz="0" w:space="0" w:color="auto"/>
      </w:divBdr>
    </w:div>
    <w:div w:id="1494252716">
      <w:bodyDiv w:val="1"/>
      <w:marLeft w:val="0"/>
      <w:marRight w:val="0"/>
      <w:marTop w:val="0"/>
      <w:marBottom w:val="0"/>
      <w:divBdr>
        <w:top w:val="none" w:sz="0" w:space="0" w:color="auto"/>
        <w:left w:val="none" w:sz="0" w:space="0" w:color="auto"/>
        <w:bottom w:val="none" w:sz="0" w:space="0" w:color="auto"/>
        <w:right w:val="none" w:sz="0" w:space="0" w:color="auto"/>
      </w:divBdr>
    </w:div>
    <w:div w:id="1507481949">
      <w:bodyDiv w:val="1"/>
      <w:marLeft w:val="0"/>
      <w:marRight w:val="0"/>
      <w:marTop w:val="0"/>
      <w:marBottom w:val="0"/>
      <w:divBdr>
        <w:top w:val="none" w:sz="0" w:space="0" w:color="auto"/>
        <w:left w:val="none" w:sz="0" w:space="0" w:color="auto"/>
        <w:bottom w:val="none" w:sz="0" w:space="0" w:color="auto"/>
        <w:right w:val="none" w:sz="0" w:space="0" w:color="auto"/>
      </w:divBdr>
    </w:div>
    <w:div w:id="1508982831">
      <w:bodyDiv w:val="1"/>
      <w:marLeft w:val="0"/>
      <w:marRight w:val="0"/>
      <w:marTop w:val="0"/>
      <w:marBottom w:val="0"/>
      <w:divBdr>
        <w:top w:val="none" w:sz="0" w:space="0" w:color="auto"/>
        <w:left w:val="none" w:sz="0" w:space="0" w:color="auto"/>
        <w:bottom w:val="none" w:sz="0" w:space="0" w:color="auto"/>
        <w:right w:val="none" w:sz="0" w:space="0" w:color="auto"/>
      </w:divBdr>
    </w:div>
    <w:div w:id="1510362843">
      <w:bodyDiv w:val="1"/>
      <w:marLeft w:val="0"/>
      <w:marRight w:val="0"/>
      <w:marTop w:val="0"/>
      <w:marBottom w:val="0"/>
      <w:divBdr>
        <w:top w:val="none" w:sz="0" w:space="0" w:color="auto"/>
        <w:left w:val="none" w:sz="0" w:space="0" w:color="auto"/>
        <w:bottom w:val="none" w:sz="0" w:space="0" w:color="auto"/>
        <w:right w:val="none" w:sz="0" w:space="0" w:color="auto"/>
      </w:divBdr>
    </w:div>
    <w:div w:id="1510950507">
      <w:bodyDiv w:val="1"/>
      <w:marLeft w:val="0"/>
      <w:marRight w:val="0"/>
      <w:marTop w:val="0"/>
      <w:marBottom w:val="0"/>
      <w:divBdr>
        <w:top w:val="none" w:sz="0" w:space="0" w:color="auto"/>
        <w:left w:val="none" w:sz="0" w:space="0" w:color="auto"/>
        <w:bottom w:val="none" w:sz="0" w:space="0" w:color="auto"/>
        <w:right w:val="none" w:sz="0" w:space="0" w:color="auto"/>
      </w:divBdr>
    </w:div>
    <w:div w:id="1516922032">
      <w:bodyDiv w:val="1"/>
      <w:marLeft w:val="0"/>
      <w:marRight w:val="0"/>
      <w:marTop w:val="0"/>
      <w:marBottom w:val="0"/>
      <w:divBdr>
        <w:top w:val="none" w:sz="0" w:space="0" w:color="auto"/>
        <w:left w:val="none" w:sz="0" w:space="0" w:color="auto"/>
        <w:bottom w:val="none" w:sz="0" w:space="0" w:color="auto"/>
        <w:right w:val="none" w:sz="0" w:space="0" w:color="auto"/>
      </w:divBdr>
    </w:div>
    <w:div w:id="1522747087">
      <w:bodyDiv w:val="1"/>
      <w:marLeft w:val="0"/>
      <w:marRight w:val="0"/>
      <w:marTop w:val="0"/>
      <w:marBottom w:val="0"/>
      <w:divBdr>
        <w:top w:val="none" w:sz="0" w:space="0" w:color="auto"/>
        <w:left w:val="none" w:sz="0" w:space="0" w:color="auto"/>
        <w:bottom w:val="none" w:sz="0" w:space="0" w:color="auto"/>
        <w:right w:val="none" w:sz="0" w:space="0" w:color="auto"/>
      </w:divBdr>
    </w:div>
    <w:div w:id="1526212411">
      <w:bodyDiv w:val="1"/>
      <w:marLeft w:val="0"/>
      <w:marRight w:val="0"/>
      <w:marTop w:val="0"/>
      <w:marBottom w:val="0"/>
      <w:divBdr>
        <w:top w:val="none" w:sz="0" w:space="0" w:color="auto"/>
        <w:left w:val="none" w:sz="0" w:space="0" w:color="auto"/>
        <w:bottom w:val="none" w:sz="0" w:space="0" w:color="auto"/>
        <w:right w:val="none" w:sz="0" w:space="0" w:color="auto"/>
      </w:divBdr>
    </w:div>
    <w:div w:id="1528525213">
      <w:bodyDiv w:val="1"/>
      <w:marLeft w:val="0"/>
      <w:marRight w:val="0"/>
      <w:marTop w:val="0"/>
      <w:marBottom w:val="0"/>
      <w:divBdr>
        <w:top w:val="none" w:sz="0" w:space="0" w:color="auto"/>
        <w:left w:val="none" w:sz="0" w:space="0" w:color="auto"/>
        <w:bottom w:val="none" w:sz="0" w:space="0" w:color="auto"/>
        <w:right w:val="none" w:sz="0" w:space="0" w:color="auto"/>
      </w:divBdr>
    </w:div>
    <w:div w:id="1534340275">
      <w:bodyDiv w:val="1"/>
      <w:marLeft w:val="0"/>
      <w:marRight w:val="0"/>
      <w:marTop w:val="0"/>
      <w:marBottom w:val="0"/>
      <w:divBdr>
        <w:top w:val="none" w:sz="0" w:space="0" w:color="auto"/>
        <w:left w:val="none" w:sz="0" w:space="0" w:color="auto"/>
        <w:bottom w:val="none" w:sz="0" w:space="0" w:color="auto"/>
        <w:right w:val="none" w:sz="0" w:space="0" w:color="auto"/>
      </w:divBdr>
    </w:div>
    <w:div w:id="1549957004">
      <w:bodyDiv w:val="1"/>
      <w:marLeft w:val="0"/>
      <w:marRight w:val="0"/>
      <w:marTop w:val="0"/>
      <w:marBottom w:val="0"/>
      <w:divBdr>
        <w:top w:val="none" w:sz="0" w:space="0" w:color="auto"/>
        <w:left w:val="none" w:sz="0" w:space="0" w:color="auto"/>
        <w:bottom w:val="none" w:sz="0" w:space="0" w:color="auto"/>
        <w:right w:val="none" w:sz="0" w:space="0" w:color="auto"/>
      </w:divBdr>
    </w:div>
    <w:div w:id="1590655744">
      <w:bodyDiv w:val="1"/>
      <w:marLeft w:val="0"/>
      <w:marRight w:val="0"/>
      <w:marTop w:val="0"/>
      <w:marBottom w:val="0"/>
      <w:divBdr>
        <w:top w:val="none" w:sz="0" w:space="0" w:color="auto"/>
        <w:left w:val="none" w:sz="0" w:space="0" w:color="auto"/>
        <w:bottom w:val="none" w:sz="0" w:space="0" w:color="auto"/>
        <w:right w:val="none" w:sz="0" w:space="0" w:color="auto"/>
      </w:divBdr>
    </w:div>
    <w:div w:id="1590963942">
      <w:bodyDiv w:val="1"/>
      <w:marLeft w:val="0"/>
      <w:marRight w:val="0"/>
      <w:marTop w:val="0"/>
      <w:marBottom w:val="0"/>
      <w:divBdr>
        <w:top w:val="none" w:sz="0" w:space="0" w:color="auto"/>
        <w:left w:val="none" w:sz="0" w:space="0" w:color="auto"/>
        <w:bottom w:val="none" w:sz="0" w:space="0" w:color="auto"/>
        <w:right w:val="none" w:sz="0" w:space="0" w:color="auto"/>
      </w:divBdr>
    </w:div>
    <w:div w:id="1599872157">
      <w:bodyDiv w:val="1"/>
      <w:marLeft w:val="0"/>
      <w:marRight w:val="0"/>
      <w:marTop w:val="0"/>
      <w:marBottom w:val="0"/>
      <w:divBdr>
        <w:top w:val="none" w:sz="0" w:space="0" w:color="auto"/>
        <w:left w:val="none" w:sz="0" w:space="0" w:color="auto"/>
        <w:bottom w:val="none" w:sz="0" w:space="0" w:color="auto"/>
        <w:right w:val="none" w:sz="0" w:space="0" w:color="auto"/>
      </w:divBdr>
    </w:div>
    <w:div w:id="1609583678">
      <w:bodyDiv w:val="1"/>
      <w:marLeft w:val="0"/>
      <w:marRight w:val="0"/>
      <w:marTop w:val="0"/>
      <w:marBottom w:val="0"/>
      <w:divBdr>
        <w:top w:val="none" w:sz="0" w:space="0" w:color="auto"/>
        <w:left w:val="none" w:sz="0" w:space="0" w:color="auto"/>
        <w:bottom w:val="none" w:sz="0" w:space="0" w:color="auto"/>
        <w:right w:val="none" w:sz="0" w:space="0" w:color="auto"/>
      </w:divBdr>
    </w:div>
    <w:div w:id="1636526004">
      <w:bodyDiv w:val="1"/>
      <w:marLeft w:val="0"/>
      <w:marRight w:val="0"/>
      <w:marTop w:val="0"/>
      <w:marBottom w:val="0"/>
      <w:divBdr>
        <w:top w:val="none" w:sz="0" w:space="0" w:color="auto"/>
        <w:left w:val="none" w:sz="0" w:space="0" w:color="auto"/>
        <w:bottom w:val="none" w:sz="0" w:space="0" w:color="auto"/>
        <w:right w:val="none" w:sz="0" w:space="0" w:color="auto"/>
      </w:divBdr>
    </w:div>
    <w:div w:id="1639068192">
      <w:bodyDiv w:val="1"/>
      <w:marLeft w:val="0"/>
      <w:marRight w:val="0"/>
      <w:marTop w:val="0"/>
      <w:marBottom w:val="0"/>
      <w:divBdr>
        <w:top w:val="none" w:sz="0" w:space="0" w:color="auto"/>
        <w:left w:val="none" w:sz="0" w:space="0" w:color="auto"/>
        <w:bottom w:val="none" w:sz="0" w:space="0" w:color="auto"/>
        <w:right w:val="none" w:sz="0" w:space="0" w:color="auto"/>
      </w:divBdr>
    </w:div>
    <w:div w:id="1646858266">
      <w:bodyDiv w:val="1"/>
      <w:marLeft w:val="0"/>
      <w:marRight w:val="0"/>
      <w:marTop w:val="0"/>
      <w:marBottom w:val="0"/>
      <w:divBdr>
        <w:top w:val="none" w:sz="0" w:space="0" w:color="auto"/>
        <w:left w:val="none" w:sz="0" w:space="0" w:color="auto"/>
        <w:bottom w:val="none" w:sz="0" w:space="0" w:color="auto"/>
        <w:right w:val="none" w:sz="0" w:space="0" w:color="auto"/>
      </w:divBdr>
    </w:div>
    <w:div w:id="1650398971">
      <w:bodyDiv w:val="1"/>
      <w:marLeft w:val="0"/>
      <w:marRight w:val="0"/>
      <w:marTop w:val="0"/>
      <w:marBottom w:val="0"/>
      <w:divBdr>
        <w:top w:val="none" w:sz="0" w:space="0" w:color="auto"/>
        <w:left w:val="none" w:sz="0" w:space="0" w:color="auto"/>
        <w:bottom w:val="none" w:sz="0" w:space="0" w:color="auto"/>
        <w:right w:val="none" w:sz="0" w:space="0" w:color="auto"/>
      </w:divBdr>
    </w:div>
    <w:div w:id="1671443537">
      <w:bodyDiv w:val="1"/>
      <w:marLeft w:val="0"/>
      <w:marRight w:val="0"/>
      <w:marTop w:val="0"/>
      <w:marBottom w:val="0"/>
      <w:divBdr>
        <w:top w:val="none" w:sz="0" w:space="0" w:color="auto"/>
        <w:left w:val="none" w:sz="0" w:space="0" w:color="auto"/>
        <w:bottom w:val="none" w:sz="0" w:space="0" w:color="auto"/>
        <w:right w:val="none" w:sz="0" w:space="0" w:color="auto"/>
      </w:divBdr>
    </w:div>
    <w:div w:id="1673986776">
      <w:bodyDiv w:val="1"/>
      <w:marLeft w:val="0"/>
      <w:marRight w:val="0"/>
      <w:marTop w:val="0"/>
      <w:marBottom w:val="0"/>
      <w:divBdr>
        <w:top w:val="none" w:sz="0" w:space="0" w:color="auto"/>
        <w:left w:val="none" w:sz="0" w:space="0" w:color="auto"/>
        <w:bottom w:val="none" w:sz="0" w:space="0" w:color="auto"/>
        <w:right w:val="none" w:sz="0" w:space="0" w:color="auto"/>
      </w:divBdr>
    </w:div>
    <w:div w:id="1681197634">
      <w:bodyDiv w:val="1"/>
      <w:marLeft w:val="0"/>
      <w:marRight w:val="0"/>
      <w:marTop w:val="0"/>
      <w:marBottom w:val="0"/>
      <w:divBdr>
        <w:top w:val="none" w:sz="0" w:space="0" w:color="auto"/>
        <w:left w:val="none" w:sz="0" w:space="0" w:color="auto"/>
        <w:bottom w:val="none" w:sz="0" w:space="0" w:color="auto"/>
        <w:right w:val="none" w:sz="0" w:space="0" w:color="auto"/>
      </w:divBdr>
    </w:div>
    <w:div w:id="1683898486">
      <w:bodyDiv w:val="1"/>
      <w:marLeft w:val="0"/>
      <w:marRight w:val="0"/>
      <w:marTop w:val="0"/>
      <w:marBottom w:val="0"/>
      <w:divBdr>
        <w:top w:val="none" w:sz="0" w:space="0" w:color="auto"/>
        <w:left w:val="none" w:sz="0" w:space="0" w:color="auto"/>
        <w:bottom w:val="none" w:sz="0" w:space="0" w:color="auto"/>
        <w:right w:val="none" w:sz="0" w:space="0" w:color="auto"/>
      </w:divBdr>
    </w:div>
    <w:div w:id="1694458056">
      <w:bodyDiv w:val="1"/>
      <w:marLeft w:val="0"/>
      <w:marRight w:val="0"/>
      <w:marTop w:val="0"/>
      <w:marBottom w:val="0"/>
      <w:divBdr>
        <w:top w:val="none" w:sz="0" w:space="0" w:color="auto"/>
        <w:left w:val="none" w:sz="0" w:space="0" w:color="auto"/>
        <w:bottom w:val="none" w:sz="0" w:space="0" w:color="auto"/>
        <w:right w:val="none" w:sz="0" w:space="0" w:color="auto"/>
      </w:divBdr>
    </w:div>
    <w:div w:id="1703552384">
      <w:bodyDiv w:val="1"/>
      <w:marLeft w:val="0"/>
      <w:marRight w:val="0"/>
      <w:marTop w:val="0"/>
      <w:marBottom w:val="0"/>
      <w:divBdr>
        <w:top w:val="none" w:sz="0" w:space="0" w:color="auto"/>
        <w:left w:val="none" w:sz="0" w:space="0" w:color="auto"/>
        <w:bottom w:val="none" w:sz="0" w:space="0" w:color="auto"/>
        <w:right w:val="none" w:sz="0" w:space="0" w:color="auto"/>
      </w:divBdr>
    </w:div>
    <w:div w:id="1705984782">
      <w:bodyDiv w:val="1"/>
      <w:marLeft w:val="0"/>
      <w:marRight w:val="0"/>
      <w:marTop w:val="0"/>
      <w:marBottom w:val="0"/>
      <w:divBdr>
        <w:top w:val="none" w:sz="0" w:space="0" w:color="auto"/>
        <w:left w:val="none" w:sz="0" w:space="0" w:color="auto"/>
        <w:bottom w:val="none" w:sz="0" w:space="0" w:color="auto"/>
        <w:right w:val="none" w:sz="0" w:space="0" w:color="auto"/>
      </w:divBdr>
    </w:div>
    <w:div w:id="1707680225">
      <w:bodyDiv w:val="1"/>
      <w:marLeft w:val="0"/>
      <w:marRight w:val="0"/>
      <w:marTop w:val="0"/>
      <w:marBottom w:val="0"/>
      <w:divBdr>
        <w:top w:val="none" w:sz="0" w:space="0" w:color="auto"/>
        <w:left w:val="none" w:sz="0" w:space="0" w:color="auto"/>
        <w:bottom w:val="none" w:sz="0" w:space="0" w:color="auto"/>
        <w:right w:val="none" w:sz="0" w:space="0" w:color="auto"/>
      </w:divBdr>
    </w:div>
    <w:div w:id="1709337604">
      <w:bodyDiv w:val="1"/>
      <w:marLeft w:val="0"/>
      <w:marRight w:val="0"/>
      <w:marTop w:val="0"/>
      <w:marBottom w:val="0"/>
      <w:divBdr>
        <w:top w:val="none" w:sz="0" w:space="0" w:color="auto"/>
        <w:left w:val="none" w:sz="0" w:space="0" w:color="auto"/>
        <w:bottom w:val="none" w:sz="0" w:space="0" w:color="auto"/>
        <w:right w:val="none" w:sz="0" w:space="0" w:color="auto"/>
      </w:divBdr>
    </w:div>
    <w:div w:id="1713384752">
      <w:bodyDiv w:val="1"/>
      <w:marLeft w:val="0"/>
      <w:marRight w:val="0"/>
      <w:marTop w:val="0"/>
      <w:marBottom w:val="0"/>
      <w:divBdr>
        <w:top w:val="none" w:sz="0" w:space="0" w:color="auto"/>
        <w:left w:val="none" w:sz="0" w:space="0" w:color="auto"/>
        <w:bottom w:val="none" w:sz="0" w:space="0" w:color="auto"/>
        <w:right w:val="none" w:sz="0" w:space="0" w:color="auto"/>
      </w:divBdr>
      <w:divsChild>
        <w:div w:id="2035382139">
          <w:marLeft w:val="0"/>
          <w:marRight w:val="0"/>
          <w:marTop w:val="0"/>
          <w:marBottom w:val="0"/>
          <w:divBdr>
            <w:top w:val="none" w:sz="0" w:space="0" w:color="auto"/>
            <w:left w:val="none" w:sz="0" w:space="0" w:color="auto"/>
            <w:bottom w:val="none" w:sz="0" w:space="0" w:color="auto"/>
            <w:right w:val="none" w:sz="0" w:space="0" w:color="auto"/>
          </w:divBdr>
        </w:div>
      </w:divsChild>
    </w:div>
    <w:div w:id="1723096490">
      <w:bodyDiv w:val="1"/>
      <w:marLeft w:val="0"/>
      <w:marRight w:val="0"/>
      <w:marTop w:val="0"/>
      <w:marBottom w:val="0"/>
      <w:divBdr>
        <w:top w:val="none" w:sz="0" w:space="0" w:color="auto"/>
        <w:left w:val="none" w:sz="0" w:space="0" w:color="auto"/>
        <w:bottom w:val="none" w:sz="0" w:space="0" w:color="auto"/>
        <w:right w:val="none" w:sz="0" w:space="0" w:color="auto"/>
      </w:divBdr>
      <w:divsChild>
        <w:div w:id="1108231682">
          <w:marLeft w:val="-720"/>
          <w:marRight w:val="0"/>
          <w:marTop w:val="0"/>
          <w:marBottom w:val="0"/>
          <w:divBdr>
            <w:top w:val="none" w:sz="0" w:space="0" w:color="auto"/>
            <w:left w:val="none" w:sz="0" w:space="0" w:color="auto"/>
            <w:bottom w:val="none" w:sz="0" w:space="0" w:color="auto"/>
            <w:right w:val="none" w:sz="0" w:space="0" w:color="auto"/>
          </w:divBdr>
        </w:div>
      </w:divsChild>
    </w:div>
    <w:div w:id="1735935685">
      <w:bodyDiv w:val="1"/>
      <w:marLeft w:val="0"/>
      <w:marRight w:val="0"/>
      <w:marTop w:val="0"/>
      <w:marBottom w:val="0"/>
      <w:divBdr>
        <w:top w:val="none" w:sz="0" w:space="0" w:color="auto"/>
        <w:left w:val="none" w:sz="0" w:space="0" w:color="auto"/>
        <w:bottom w:val="none" w:sz="0" w:space="0" w:color="auto"/>
        <w:right w:val="none" w:sz="0" w:space="0" w:color="auto"/>
      </w:divBdr>
    </w:div>
    <w:div w:id="1743061697">
      <w:bodyDiv w:val="1"/>
      <w:marLeft w:val="0"/>
      <w:marRight w:val="0"/>
      <w:marTop w:val="0"/>
      <w:marBottom w:val="0"/>
      <w:divBdr>
        <w:top w:val="none" w:sz="0" w:space="0" w:color="auto"/>
        <w:left w:val="none" w:sz="0" w:space="0" w:color="auto"/>
        <w:bottom w:val="none" w:sz="0" w:space="0" w:color="auto"/>
        <w:right w:val="none" w:sz="0" w:space="0" w:color="auto"/>
      </w:divBdr>
    </w:div>
    <w:div w:id="1752584944">
      <w:bodyDiv w:val="1"/>
      <w:marLeft w:val="0"/>
      <w:marRight w:val="0"/>
      <w:marTop w:val="0"/>
      <w:marBottom w:val="0"/>
      <w:divBdr>
        <w:top w:val="none" w:sz="0" w:space="0" w:color="auto"/>
        <w:left w:val="none" w:sz="0" w:space="0" w:color="auto"/>
        <w:bottom w:val="none" w:sz="0" w:space="0" w:color="auto"/>
        <w:right w:val="none" w:sz="0" w:space="0" w:color="auto"/>
      </w:divBdr>
    </w:div>
    <w:div w:id="1754207291">
      <w:bodyDiv w:val="1"/>
      <w:marLeft w:val="0"/>
      <w:marRight w:val="0"/>
      <w:marTop w:val="0"/>
      <w:marBottom w:val="0"/>
      <w:divBdr>
        <w:top w:val="none" w:sz="0" w:space="0" w:color="auto"/>
        <w:left w:val="none" w:sz="0" w:space="0" w:color="auto"/>
        <w:bottom w:val="none" w:sz="0" w:space="0" w:color="auto"/>
        <w:right w:val="none" w:sz="0" w:space="0" w:color="auto"/>
      </w:divBdr>
    </w:div>
    <w:div w:id="1755589146">
      <w:bodyDiv w:val="1"/>
      <w:marLeft w:val="0"/>
      <w:marRight w:val="0"/>
      <w:marTop w:val="0"/>
      <w:marBottom w:val="0"/>
      <w:divBdr>
        <w:top w:val="none" w:sz="0" w:space="0" w:color="auto"/>
        <w:left w:val="none" w:sz="0" w:space="0" w:color="auto"/>
        <w:bottom w:val="none" w:sz="0" w:space="0" w:color="auto"/>
        <w:right w:val="none" w:sz="0" w:space="0" w:color="auto"/>
      </w:divBdr>
    </w:div>
    <w:div w:id="1757626785">
      <w:bodyDiv w:val="1"/>
      <w:marLeft w:val="0"/>
      <w:marRight w:val="0"/>
      <w:marTop w:val="0"/>
      <w:marBottom w:val="0"/>
      <w:divBdr>
        <w:top w:val="none" w:sz="0" w:space="0" w:color="auto"/>
        <w:left w:val="none" w:sz="0" w:space="0" w:color="auto"/>
        <w:bottom w:val="none" w:sz="0" w:space="0" w:color="auto"/>
        <w:right w:val="none" w:sz="0" w:space="0" w:color="auto"/>
      </w:divBdr>
      <w:divsChild>
        <w:div w:id="383916934">
          <w:marLeft w:val="0"/>
          <w:marRight w:val="0"/>
          <w:marTop w:val="0"/>
          <w:marBottom w:val="0"/>
          <w:divBdr>
            <w:top w:val="none" w:sz="0" w:space="0" w:color="auto"/>
            <w:left w:val="none" w:sz="0" w:space="0" w:color="auto"/>
            <w:bottom w:val="none" w:sz="0" w:space="0" w:color="auto"/>
            <w:right w:val="none" w:sz="0" w:space="0" w:color="auto"/>
          </w:divBdr>
        </w:div>
      </w:divsChild>
    </w:div>
    <w:div w:id="1763646067">
      <w:bodyDiv w:val="1"/>
      <w:marLeft w:val="0"/>
      <w:marRight w:val="0"/>
      <w:marTop w:val="0"/>
      <w:marBottom w:val="0"/>
      <w:divBdr>
        <w:top w:val="none" w:sz="0" w:space="0" w:color="auto"/>
        <w:left w:val="none" w:sz="0" w:space="0" w:color="auto"/>
        <w:bottom w:val="none" w:sz="0" w:space="0" w:color="auto"/>
        <w:right w:val="none" w:sz="0" w:space="0" w:color="auto"/>
      </w:divBdr>
    </w:div>
    <w:div w:id="1769421426">
      <w:bodyDiv w:val="1"/>
      <w:marLeft w:val="0"/>
      <w:marRight w:val="0"/>
      <w:marTop w:val="0"/>
      <w:marBottom w:val="0"/>
      <w:divBdr>
        <w:top w:val="none" w:sz="0" w:space="0" w:color="auto"/>
        <w:left w:val="none" w:sz="0" w:space="0" w:color="auto"/>
        <w:bottom w:val="none" w:sz="0" w:space="0" w:color="auto"/>
        <w:right w:val="none" w:sz="0" w:space="0" w:color="auto"/>
      </w:divBdr>
    </w:div>
    <w:div w:id="1771510652">
      <w:bodyDiv w:val="1"/>
      <w:marLeft w:val="0"/>
      <w:marRight w:val="0"/>
      <w:marTop w:val="0"/>
      <w:marBottom w:val="0"/>
      <w:divBdr>
        <w:top w:val="none" w:sz="0" w:space="0" w:color="auto"/>
        <w:left w:val="none" w:sz="0" w:space="0" w:color="auto"/>
        <w:bottom w:val="none" w:sz="0" w:space="0" w:color="auto"/>
        <w:right w:val="none" w:sz="0" w:space="0" w:color="auto"/>
      </w:divBdr>
    </w:div>
    <w:div w:id="1776246638">
      <w:bodyDiv w:val="1"/>
      <w:marLeft w:val="0"/>
      <w:marRight w:val="0"/>
      <w:marTop w:val="0"/>
      <w:marBottom w:val="0"/>
      <w:divBdr>
        <w:top w:val="none" w:sz="0" w:space="0" w:color="auto"/>
        <w:left w:val="none" w:sz="0" w:space="0" w:color="auto"/>
        <w:bottom w:val="none" w:sz="0" w:space="0" w:color="auto"/>
        <w:right w:val="none" w:sz="0" w:space="0" w:color="auto"/>
      </w:divBdr>
    </w:div>
    <w:div w:id="1786582454">
      <w:bodyDiv w:val="1"/>
      <w:marLeft w:val="0"/>
      <w:marRight w:val="0"/>
      <w:marTop w:val="0"/>
      <w:marBottom w:val="0"/>
      <w:divBdr>
        <w:top w:val="none" w:sz="0" w:space="0" w:color="auto"/>
        <w:left w:val="none" w:sz="0" w:space="0" w:color="auto"/>
        <w:bottom w:val="none" w:sz="0" w:space="0" w:color="auto"/>
        <w:right w:val="none" w:sz="0" w:space="0" w:color="auto"/>
      </w:divBdr>
    </w:div>
    <w:div w:id="1787314675">
      <w:bodyDiv w:val="1"/>
      <w:marLeft w:val="0"/>
      <w:marRight w:val="0"/>
      <w:marTop w:val="0"/>
      <w:marBottom w:val="0"/>
      <w:divBdr>
        <w:top w:val="none" w:sz="0" w:space="0" w:color="auto"/>
        <w:left w:val="none" w:sz="0" w:space="0" w:color="auto"/>
        <w:bottom w:val="none" w:sz="0" w:space="0" w:color="auto"/>
        <w:right w:val="none" w:sz="0" w:space="0" w:color="auto"/>
      </w:divBdr>
      <w:divsChild>
        <w:div w:id="82073325">
          <w:marLeft w:val="0"/>
          <w:marRight w:val="0"/>
          <w:marTop w:val="0"/>
          <w:marBottom w:val="0"/>
          <w:divBdr>
            <w:top w:val="none" w:sz="0" w:space="0" w:color="auto"/>
            <w:left w:val="none" w:sz="0" w:space="0" w:color="auto"/>
            <w:bottom w:val="none" w:sz="0" w:space="0" w:color="auto"/>
            <w:right w:val="none" w:sz="0" w:space="0" w:color="auto"/>
          </w:divBdr>
        </w:div>
      </w:divsChild>
    </w:div>
    <w:div w:id="1788234782">
      <w:bodyDiv w:val="1"/>
      <w:marLeft w:val="0"/>
      <w:marRight w:val="0"/>
      <w:marTop w:val="0"/>
      <w:marBottom w:val="0"/>
      <w:divBdr>
        <w:top w:val="none" w:sz="0" w:space="0" w:color="auto"/>
        <w:left w:val="none" w:sz="0" w:space="0" w:color="auto"/>
        <w:bottom w:val="none" w:sz="0" w:space="0" w:color="auto"/>
        <w:right w:val="none" w:sz="0" w:space="0" w:color="auto"/>
      </w:divBdr>
    </w:div>
    <w:div w:id="1795248206">
      <w:bodyDiv w:val="1"/>
      <w:marLeft w:val="0"/>
      <w:marRight w:val="0"/>
      <w:marTop w:val="0"/>
      <w:marBottom w:val="0"/>
      <w:divBdr>
        <w:top w:val="none" w:sz="0" w:space="0" w:color="auto"/>
        <w:left w:val="none" w:sz="0" w:space="0" w:color="auto"/>
        <w:bottom w:val="none" w:sz="0" w:space="0" w:color="auto"/>
        <w:right w:val="none" w:sz="0" w:space="0" w:color="auto"/>
      </w:divBdr>
    </w:div>
    <w:div w:id="1801075613">
      <w:bodyDiv w:val="1"/>
      <w:marLeft w:val="0"/>
      <w:marRight w:val="0"/>
      <w:marTop w:val="0"/>
      <w:marBottom w:val="0"/>
      <w:divBdr>
        <w:top w:val="none" w:sz="0" w:space="0" w:color="auto"/>
        <w:left w:val="none" w:sz="0" w:space="0" w:color="auto"/>
        <w:bottom w:val="none" w:sz="0" w:space="0" w:color="auto"/>
        <w:right w:val="none" w:sz="0" w:space="0" w:color="auto"/>
      </w:divBdr>
      <w:divsChild>
        <w:div w:id="1428500970">
          <w:marLeft w:val="0"/>
          <w:marRight w:val="0"/>
          <w:marTop w:val="0"/>
          <w:marBottom w:val="0"/>
          <w:divBdr>
            <w:top w:val="none" w:sz="0" w:space="0" w:color="auto"/>
            <w:left w:val="none" w:sz="0" w:space="0" w:color="auto"/>
            <w:bottom w:val="none" w:sz="0" w:space="0" w:color="auto"/>
            <w:right w:val="none" w:sz="0" w:space="0" w:color="auto"/>
          </w:divBdr>
        </w:div>
      </w:divsChild>
    </w:div>
    <w:div w:id="1802730249">
      <w:bodyDiv w:val="1"/>
      <w:marLeft w:val="0"/>
      <w:marRight w:val="0"/>
      <w:marTop w:val="0"/>
      <w:marBottom w:val="0"/>
      <w:divBdr>
        <w:top w:val="none" w:sz="0" w:space="0" w:color="auto"/>
        <w:left w:val="none" w:sz="0" w:space="0" w:color="auto"/>
        <w:bottom w:val="none" w:sz="0" w:space="0" w:color="auto"/>
        <w:right w:val="none" w:sz="0" w:space="0" w:color="auto"/>
      </w:divBdr>
    </w:div>
    <w:div w:id="1806121924">
      <w:bodyDiv w:val="1"/>
      <w:marLeft w:val="0"/>
      <w:marRight w:val="0"/>
      <w:marTop w:val="0"/>
      <w:marBottom w:val="0"/>
      <w:divBdr>
        <w:top w:val="none" w:sz="0" w:space="0" w:color="auto"/>
        <w:left w:val="none" w:sz="0" w:space="0" w:color="auto"/>
        <w:bottom w:val="none" w:sz="0" w:space="0" w:color="auto"/>
        <w:right w:val="none" w:sz="0" w:space="0" w:color="auto"/>
      </w:divBdr>
      <w:divsChild>
        <w:div w:id="1739785756">
          <w:marLeft w:val="-720"/>
          <w:marRight w:val="0"/>
          <w:marTop w:val="0"/>
          <w:marBottom w:val="0"/>
          <w:divBdr>
            <w:top w:val="none" w:sz="0" w:space="0" w:color="auto"/>
            <w:left w:val="none" w:sz="0" w:space="0" w:color="auto"/>
            <w:bottom w:val="none" w:sz="0" w:space="0" w:color="auto"/>
            <w:right w:val="none" w:sz="0" w:space="0" w:color="auto"/>
          </w:divBdr>
        </w:div>
      </w:divsChild>
    </w:div>
    <w:div w:id="1810973790">
      <w:bodyDiv w:val="1"/>
      <w:marLeft w:val="0"/>
      <w:marRight w:val="0"/>
      <w:marTop w:val="0"/>
      <w:marBottom w:val="0"/>
      <w:divBdr>
        <w:top w:val="none" w:sz="0" w:space="0" w:color="auto"/>
        <w:left w:val="none" w:sz="0" w:space="0" w:color="auto"/>
        <w:bottom w:val="none" w:sz="0" w:space="0" w:color="auto"/>
        <w:right w:val="none" w:sz="0" w:space="0" w:color="auto"/>
      </w:divBdr>
    </w:div>
    <w:div w:id="1824589220">
      <w:bodyDiv w:val="1"/>
      <w:marLeft w:val="0"/>
      <w:marRight w:val="0"/>
      <w:marTop w:val="0"/>
      <w:marBottom w:val="0"/>
      <w:divBdr>
        <w:top w:val="none" w:sz="0" w:space="0" w:color="auto"/>
        <w:left w:val="none" w:sz="0" w:space="0" w:color="auto"/>
        <w:bottom w:val="none" w:sz="0" w:space="0" w:color="auto"/>
        <w:right w:val="none" w:sz="0" w:space="0" w:color="auto"/>
      </w:divBdr>
    </w:div>
    <w:div w:id="1825194503">
      <w:bodyDiv w:val="1"/>
      <w:marLeft w:val="0"/>
      <w:marRight w:val="0"/>
      <w:marTop w:val="0"/>
      <w:marBottom w:val="0"/>
      <w:divBdr>
        <w:top w:val="none" w:sz="0" w:space="0" w:color="auto"/>
        <w:left w:val="none" w:sz="0" w:space="0" w:color="auto"/>
        <w:bottom w:val="none" w:sz="0" w:space="0" w:color="auto"/>
        <w:right w:val="none" w:sz="0" w:space="0" w:color="auto"/>
      </w:divBdr>
    </w:div>
    <w:div w:id="1830173309">
      <w:bodyDiv w:val="1"/>
      <w:marLeft w:val="0"/>
      <w:marRight w:val="0"/>
      <w:marTop w:val="0"/>
      <w:marBottom w:val="0"/>
      <w:divBdr>
        <w:top w:val="none" w:sz="0" w:space="0" w:color="auto"/>
        <w:left w:val="none" w:sz="0" w:space="0" w:color="auto"/>
        <w:bottom w:val="none" w:sz="0" w:space="0" w:color="auto"/>
        <w:right w:val="none" w:sz="0" w:space="0" w:color="auto"/>
      </w:divBdr>
      <w:divsChild>
        <w:div w:id="350424044">
          <w:marLeft w:val="0"/>
          <w:marRight w:val="0"/>
          <w:marTop w:val="0"/>
          <w:marBottom w:val="0"/>
          <w:divBdr>
            <w:top w:val="none" w:sz="0" w:space="0" w:color="auto"/>
            <w:left w:val="none" w:sz="0" w:space="0" w:color="auto"/>
            <w:bottom w:val="none" w:sz="0" w:space="0" w:color="auto"/>
            <w:right w:val="none" w:sz="0" w:space="0" w:color="auto"/>
          </w:divBdr>
        </w:div>
      </w:divsChild>
    </w:div>
    <w:div w:id="1835342409">
      <w:bodyDiv w:val="1"/>
      <w:marLeft w:val="0"/>
      <w:marRight w:val="0"/>
      <w:marTop w:val="0"/>
      <w:marBottom w:val="0"/>
      <w:divBdr>
        <w:top w:val="none" w:sz="0" w:space="0" w:color="auto"/>
        <w:left w:val="none" w:sz="0" w:space="0" w:color="auto"/>
        <w:bottom w:val="none" w:sz="0" w:space="0" w:color="auto"/>
        <w:right w:val="none" w:sz="0" w:space="0" w:color="auto"/>
      </w:divBdr>
    </w:div>
    <w:div w:id="1851482455">
      <w:bodyDiv w:val="1"/>
      <w:marLeft w:val="0"/>
      <w:marRight w:val="0"/>
      <w:marTop w:val="0"/>
      <w:marBottom w:val="0"/>
      <w:divBdr>
        <w:top w:val="none" w:sz="0" w:space="0" w:color="auto"/>
        <w:left w:val="none" w:sz="0" w:space="0" w:color="auto"/>
        <w:bottom w:val="none" w:sz="0" w:space="0" w:color="auto"/>
        <w:right w:val="none" w:sz="0" w:space="0" w:color="auto"/>
      </w:divBdr>
    </w:div>
    <w:div w:id="1855026274">
      <w:bodyDiv w:val="1"/>
      <w:marLeft w:val="0"/>
      <w:marRight w:val="0"/>
      <w:marTop w:val="0"/>
      <w:marBottom w:val="0"/>
      <w:divBdr>
        <w:top w:val="none" w:sz="0" w:space="0" w:color="auto"/>
        <w:left w:val="none" w:sz="0" w:space="0" w:color="auto"/>
        <w:bottom w:val="none" w:sz="0" w:space="0" w:color="auto"/>
        <w:right w:val="none" w:sz="0" w:space="0" w:color="auto"/>
      </w:divBdr>
    </w:div>
    <w:div w:id="1862664216">
      <w:bodyDiv w:val="1"/>
      <w:marLeft w:val="0"/>
      <w:marRight w:val="0"/>
      <w:marTop w:val="0"/>
      <w:marBottom w:val="0"/>
      <w:divBdr>
        <w:top w:val="none" w:sz="0" w:space="0" w:color="auto"/>
        <w:left w:val="none" w:sz="0" w:space="0" w:color="auto"/>
        <w:bottom w:val="none" w:sz="0" w:space="0" w:color="auto"/>
        <w:right w:val="none" w:sz="0" w:space="0" w:color="auto"/>
      </w:divBdr>
    </w:div>
    <w:div w:id="1871792894">
      <w:bodyDiv w:val="1"/>
      <w:marLeft w:val="0"/>
      <w:marRight w:val="0"/>
      <w:marTop w:val="0"/>
      <w:marBottom w:val="0"/>
      <w:divBdr>
        <w:top w:val="none" w:sz="0" w:space="0" w:color="auto"/>
        <w:left w:val="none" w:sz="0" w:space="0" w:color="auto"/>
        <w:bottom w:val="none" w:sz="0" w:space="0" w:color="auto"/>
        <w:right w:val="none" w:sz="0" w:space="0" w:color="auto"/>
      </w:divBdr>
    </w:div>
    <w:div w:id="1877234794">
      <w:bodyDiv w:val="1"/>
      <w:marLeft w:val="0"/>
      <w:marRight w:val="0"/>
      <w:marTop w:val="0"/>
      <w:marBottom w:val="0"/>
      <w:divBdr>
        <w:top w:val="none" w:sz="0" w:space="0" w:color="auto"/>
        <w:left w:val="none" w:sz="0" w:space="0" w:color="auto"/>
        <w:bottom w:val="none" w:sz="0" w:space="0" w:color="auto"/>
        <w:right w:val="none" w:sz="0" w:space="0" w:color="auto"/>
      </w:divBdr>
    </w:div>
    <w:div w:id="1884436392">
      <w:bodyDiv w:val="1"/>
      <w:marLeft w:val="0"/>
      <w:marRight w:val="0"/>
      <w:marTop w:val="0"/>
      <w:marBottom w:val="0"/>
      <w:divBdr>
        <w:top w:val="none" w:sz="0" w:space="0" w:color="auto"/>
        <w:left w:val="none" w:sz="0" w:space="0" w:color="auto"/>
        <w:bottom w:val="none" w:sz="0" w:space="0" w:color="auto"/>
        <w:right w:val="none" w:sz="0" w:space="0" w:color="auto"/>
      </w:divBdr>
    </w:div>
    <w:div w:id="1894539901">
      <w:bodyDiv w:val="1"/>
      <w:marLeft w:val="0"/>
      <w:marRight w:val="0"/>
      <w:marTop w:val="0"/>
      <w:marBottom w:val="0"/>
      <w:divBdr>
        <w:top w:val="none" w:sz="0" w:space="0" w:color="auto"/>
        <w:left w:val="none" w:sz="0" w:space="0" w:color="auto"/>
        <w:bottom w:val="none" w:sz="0" w:space="0" w:color="auto"/>
        <w:right w:val="none" w:sz="0" w:space="0" w:color="auto"/>
      </w:divBdr>
      <w:divsChild>
        <w:div w:id="332874593">
          <w:marLeft w:val="-720"/>
          <w:marRight w:val="0"/>
          <w:marTop w:val="0"/>
          <w:marBottom w:val="0"/>
          <w:divBdr>
            <w:top w:val="none" w:sz="0" w:space="0" w:color="auto"/>
            <w:left w:val="none" w:sz="0" w:space="0" w:color="auto"/>
            <w:bottom w:val="none" w:sz="0" w:space="0" w:color="auto"/>
            <w:right w:val="none" w:sz="0" w:space="0" w:color="auto"/>
          </w:divBdr>
        </w:div>
      </w:divsChild>
    </w:div>
    <w:div w:id="1894540964">
      <w:bodyDiv w:val="1"/>
      <w:marLeft w:val="0"/>
      <w:marRight w:val="0"/>
      <w:marTop w:val="0"/>
      <w:marBottom w:val="0"/>
      <w:divBdr>
        <w:top w:val="none" w:sz="0" w:space="0" w:color="auto"/>
        <w:left w:val="none" w:sz="0" w:space="0" w:color="auto"/>
        <w:bottom w:val="none" w:sz="0" w:space="0" w:color="auto"/>
        <w:right w:val="none" w:sz="0" w:space="0" w:color="auto"/>
      </w:divBdr>
    </w:div>
    <w:div w:id="1895508917">
      <w:bodyDiv w:val="1"/>
      <w:marLeft w:val="0"/>
      <w:marRight w:val="0"/>
      <w:marTop w:val="0"/>
      <w:marBottom w:val="0"/>
      <w:divBdr>
        <w:top w:val="none" w:sz="0" w:space="0" w:color="auto"/>
        <w:left w:val="none" w:sz="0" w:space="0" w:color="auto"/>
        <w:bottom w:val="none" w:sz="0" w:space="0" w:color="auto"/>
        <w:right w:val="none" w:sz="0" w:space="0" w:color="auto"/>
      </w:divBdr>
    </w:div>
    <w:div w:id="1896354356">
      <w:bodyDiv w:val="1"/>
      <w:marLeft w:val="0"/>
      <w:marRight w:val="0"/>
      <w:marTop w:val="0"/>
      <w:marBottom w:val="0"/>
      <w:divBdr>
        <w:top w:val="none" w:sz="0" w:space="0" w:color="auto"/>
        <w:left w:val="none" w:sz="0" w:space="0" w:color="auto"/>
        <w:bottom w:val="none" w:sz="0" w:space="0" w:color="auto"/>
        <w:right w:val="none" w:sz="0" w:space="0" w:color="auto"/>
      </w:divBdr>
    </w:div>
    <w:div w:id="1902641840">
      <w:bodyDiv w:val="1"/>
      <w:marLeft w:val="0"/>
      <w:marRight w:val="0"/>
      <w:marTop w:val="0"/>
      <w:marBottom w:val="0"/>
      <w:divBdr>
        <w:top w:val="none" w:sz="0" w:space="0" w:color="auto"/>
        <w:left w:val="none" w:sz="0" w:space="0" w:color="auto"/>
        <w:bottom w:val="none" w:sz="0" w:space="0" w:color="auto"/>
        <w:right w:val="none" w:sz="0" w:space="0" w:color="auto"/>
      </w:divBdr>
    </w:div>
    <w:div w:id="1909263705">
      <w:bodyDiv w:val="1"/>
      <w:marLeft w:val="0"/>
      <w:marRight w:val="0"/>
      <w:marTop w:val="0"/>
      <w:marBottom w:val="0"/>
      <w:divBdr>
        <w:top w:val="none" w:sz="0" w:space="0" w:color="auto"/>
        <w:left w:val="none" w:sz="0" w:space="0" w:color="auto"/>
        <w:bottom w:val="none" w:sz="0" w:space="0" w:color="auto"/>
        <w:right w:val="none" w:sz="0" w:space="0" w:color="auto"/>
      </w:divBdr>
    </w:div>
    <w:div w:id="1924876337">
      <w:bodyDiv w:val="1"/>
      <w:marLeft w:val="0"/>
      <w:marRight w:val="0"/>
      <w:marTop w:val="0"/>
      <w:marBottom w:val="0"/>
      <w:divBdr>
        <w:top w:val="none" w:sz="0" w:space="0" w:color="auto"/>
        <w:left w:val="none" w:sz="0" w:space="0" w:color="auto"/>
        <w:bottom w:val="none" w:sz="0" w:space="0" w:color="auto"/>
        <w:right w:val="none" w:sz="0" w:space="0" w:color="auto"/>
      </w:divBdr>
    </w:div>
    <w:div w:id="1936397386">
      <w:bodyDiv w:val="1"/>
      <w:marLeft w:val="0"/>
      <w:marRight w:val="0"/>
      <w:marTop w:val="0"/>
      <w:marBottom w:val="0"/>
      <w:divBdr>
        <w:top w:val="none" w:sz="0" w:space="0" w:color="auto"/>
        <w:left w:val="none" w:sz="0" w:space="0" w:color="auto"/>
        <w:bottom w:val="none" w:sz="0" w:space="0" w:color="auto"/>
        <w:right w:val="none" w:sz="0" w:space="0" w:color="auto"/>
      </w:divBdr>
    </w:div>
    <w:div w:id="1938980753">
      <w:bodyDiv w:val="1"/>
      <w:marLeft w:val="0"/>
      <w:marRight w:val="0"/>
      <w:marTop w:val="0"/>
      <w:marBottom w:val="0"/>
      <w:divBdr>
        <w:top w:val="none" w:sz="0" w:space="0" w:color="auto"/>
        <w:left w:val="none" w:sz="0" w:space="0" w:color="auto"/>
        <w:bottom w:val="none" w:sz="0" w:space="0" w:color="auto"/>
        <w:right w:val="none" w:sz="0" w:space="0" w:color="auto"/>
      </w:divBdr>
    </w:div>
    <w:div w:id="1947152289">
      <w:bodyDiv w:val="1"/>
      <w:marLeft w:val="0"/>
      <w:marRight w:val="0"/>
      <w:marTop w:val="0"/>
      <w:marBottom w:val="0"/>
      <w:divBdr>
        <w:top w:val="none" w:sz="0" w:space="0" w:color="auto"/>
        <w:left w:val="none" w:sz="0" w:space="0" w:color="auto"/>
        <w:bottom w:val="none" w:sz="0" w:space="0" w:color="auto"/>
        <w:right w:val="none" w:sz="0" w:space="0" w:color="auto"/>
      </w:divBdr>
    </w:div>
    <w:div w:id="1947346448">
      <w:bodyDiv w:val="1"/>
      <w:marLeft w:val="0"/>
      <w:marRight w:val="0"/>
      <w:marTop w:val="0"/>
      <w:marBottom w:val="0"/>
      <w:divBdr>
        <w:top w:val="none" w:sz="0" w:space="0" w:color="auto"/>
        <w:left w:val="none" w:sz="0" w:space="0" w:color="auto"/>
        <w:bottom w:val="none" w:sz="0" w:space="0" w:color="auto"/>
        <w:right w:val="none" w:sz="0" w:space="0" w:color="auto"/>
      </w:divBdr>
    </w:div>
    <w:div w:id="1972323949">
      <w:bodyDiv w:val="1"/>
      <w:marLeft w:val="0"/>
      <w:marRight w:val="0"/>
      <w:marTop w:val="0"/>
      <w:marBottom w:val="0"/>
      <w:divBdr>
        <w:top w:val="none" w:sz="0" w:space="0" w:color="auto"/>
        <w:left w:val="none" w:sz="0" w:space="0" w:color="auto"/>
        <w:bottom w:val="none" w:sz="0" w:space="0" w:color="auto"/>
        <w:right w:val="none" w:sz="0" w:space="0" w:color="auto"/>
      </w:divBdr>
    </w:div>
    <w:div w:id="1976401605">
      <w:bodyDiv w:val="1"/>
      <w:marLeft w:val="0"/>
      <w:marRight w:val="0"/>
      <w:marTop w:val="0"/>
      <w:marBottom w:val="0"/>
      <w:divBdr>
        <w:top w:val="none" w:sz="0" w:space="0" w:color="auto"/>
        <w:left w:val="none" w:sz="0" w:space="0" w:color="auto"/>
        <w:bottom w:val="none" w:sz="0" w:space="0" w:color="auto"/>
        <w:right w:val="none" w:sz="0" w:space="0" w:color="auto"/>
      </w:divBdr>
      <w:divsChild>
        <w:div w:id="941456663">
          <w:marLeft w:val="0"/>
          <w:marRight w:val="0"/>
          <w:marTop w:val="0"/>
          <w:marBottom w:val="0"/>
          <w:divBdr>
            <w:top w:val="none" w:sz="0" w:space="0" w:color="auto"/>
            <w:left w:val="none" w:sz="0" w:space="0" w:color="auto"/>
            <w:bottom w:val="none" w:sz="0" w:space="0" w:color="auto"/>
            <w:right w:val="none" w:sz="0" w:space="0" w:color="auto"/>
          </w:divBdr>
        </w:div>
      </w:divsChild>
    </w:div>
    <w:div w:id="1992824981">
      <w:bodyDiv w:val="1"/>
      <w:marLeft w:val="0"/>
      <w:marRight w:val="0"/>
      <w:marTop w:val="0"/>
      <w:marBottom w:val="0"/>
      <w:divBdr>
        <w:top w:val="none" w:sz="0" w:space="0" w:color="auto"/>
        <w:left w:val="none" w:sz="0" w:space="0" w:color="auto"/>
        <w:bottom w:val="none" w:sz="0" w:space="0" w:color="auto"/>
        <w:right w:val="none" w:sz="0" w:space="0" w:color="auto"/>
      </w:divBdr>
    </w:div>
    <w:div w:id="1997874659">
      <w:bodyDiv w:val="1"/>
      <w:marLeft w:val="0"/>
      <w:marRight w:val="0"/>
      <w:marTop w:val="0"/>
      <w:marBottom w:val="0"/>
      <w:divBdr>
        <w:top w:val="none" w:sz="0" w:space="0" w:color="auto"/>
        <w:left w:val="none" w:sz="0" w:space="0" w:color="auto"/>
        <w:bottom w:val="none" w:sz="0" w:space="0" w:color="auto"/>
        <w:right w:val="none" w:sz="0" w:space="0" w:color="auto"/>
      </w:divBdr>
    </w:div>
    <w:div w:id="1998418848">
      <w:bodyDiv w:val="1"/>
      <w:marLeft w:val="0"/>
      <w:marRight w:val="0"/>
      <w:marTop w:val="0"/>
      <w:marBottom w:val="0"/>
      <w:divBdr>
        <w:top w:val="none" w:sz="0" w:space="0" w:color="auto"/>
        <w:left w:val="none" w:sz="0" w:space="0" w:color="auto"/>
        <w:bottom w:val="none" w:sz="0" w:space="0" w:color="auto"/>
        <w:right w:val="none" w:sz="0" w:space="0" w:color="auto"/>
      </w:divBdr>
    </w:div>
    <w:div w:id="2012944585">
      <w:bodyDiv w:val="1"/>
      <w:marLeft w:val="0"/>
      <w:marRight w:val="0"/>
      <w:marTop w:val="0"/>
      <w:marBottom w:val="0"/>
      <w:divBdr>
        <w:top w:val="none" w:sz="0" w:space="0" w:color="auto"/>
        <w:left w:val="none" w:sz="0" w:space="0" w:color="auto"/>
        <w:bottom w:val="none" w:sz="0" w:space="0" w:color="auto"/>
        <w:right w:val="none" w:sz="0" w:space="0" w:color="auto"/>
      </w:divBdr>
    </w:div>
    <w:div w:id="2021392548">
      <w:bodyDiv w:val="1"/>
      <w:marLeft w:val="0"/>
      <w:marRight w:val="0"/>
      <w:marTop w:val="0"/>
      <w:marBottom w:val="0"/>
      <w:divBdr>
        <w:top w:val="none" w:sz="0" w:space="0" w:color="auto"/>
        <w:left w:val="none" w:sz="0" w:space="0" w:color="auto"/>
        <w:bottom w:val="none" w:sz="0" w:space="0" w:color="auto"/>
        <w:right w:val="none" w:sz="0" w:space="0" w:color="auto"/>
      </w:divBdr>
    </w:div>
    <w:div w:id="2041322912">
      <w:bodyDiv w:val="1"/>
      <w:marLeft w:val="0"/>
      <w:marRight w:val="0"/>
      <w:marTop w:val="0"/>
      <w:marBottom w:val="0"/>
      <w:divBdr>
        <w:top w:val="none" w:sz="0" w:space="0" w:color="auto"/>
        <w:left w:val="none" w:sz="0" w:space="0" w:color="auto"/>
        <w:bottom w:val="none" w:sz="0" w:space="0" w:color="auto"/>
        <w:right w:val="none" w:sz="0" w:space="0" w:color="auto"/>
      </w:divBdr>
    </w:div>
    <w:div w:id="2046321617">
      <w:bodyDiv w:val="1"/>
      <w:marLeft w:val="0"/>
      <w:marRight w:val="0"/>
      <w:marTop w:val="0"/>
      <w:marBottom w:val="0"/>
      <w:divBdr>
        <w:top w:val="none" w:sz="0" w:space="0" w:color="auto"/>
        <w:left w:val="none" w:sz="0" w:space="0" w:color="auto"/>
        <w:bottom w:val="none" w:sz="0" w:space="0" w:color="auto"/>
        <w:right w:val="none" w:sz="0" w:space="0" w:color="auto"/>
      </w:divBdr>
    </w:div>
    <w:div w:id="2063671289">
      <w:bodyDiv w:val="1"/>
      <w:marLeft w:val="0"/>
      <w:marRight w:val="0"/>
      <w:marTop w:val="0"/>
      <w:marBottom w:val="0"/>
      <w:divBdr>
        <w:top w:val="none" w:sz="0" w:space="0" w:color="auto"/>
        <w:left w:val="none" w:sz="0" w:space="0" w:color="auto"/>
        <w:bottom w:val="none" w:sz="0" w:space="0" w:color="auto"/>
        <w:right w:val="none" w:sz="0" w:space="0" w:color="auto"/>
      </w:divBdr>
    </w:div>
    <w:div w:id="2067098765">
      <w:bodyDiv w:val="1"/>
      <w:marLeft w:val="0"/>
      <w:marRight w:val="0"/>
      <w:marTop w:val="0"/>
      <w:marBottom w:val="0"/>
      <w:divBdr>
        <w:top w:val="none" w:sz="0" w:space="0" w:color="auto"/>
        <w:left w:val="none" w:sz="0" w:space="0" w:color="auto"/>
        <w:bottom w:val="none" w:sz="0" w:space="0" w:color="auto"/>
        <w:right w:val="none" w:sz="0" w:space="0" w:color="auto"/>
      </w:divBdr>
    </w:div>
    <w:div w:id="2069260491">
      <w:bodyDiv w:val="1"/>
      <w:marLeft w:val="0"/>
      <w:marRight w:val="0"/>
      <w:marTop w:val="0"/>
      <w:marBottom w:val="0"/>
      <w:divBdr>
        <w:top w:val="none" w:sz="0" w:space="0" w:color="auto"/>
        <w:left w:val="none" w:sz="0" w:space="0" w:color="auto"/>
        <w:bottom w:val="none" w:sz="0" w:space="0" w:color="auto"/>
        <w:right w:val="none" w:sz="0" w:space="0" w:color="auto"/>
      </w:divBdr>
    </w:div>
    <w:div w:id="2072188583">
      <w:bodyDiv w:val="1"/>
      <w:marLeft w:val="0"/>
      <w:marRight w:val="0"/>
      <w:marTop w:val="0"/>
      <w:marBottom w:val="0"/>
      <w:divBdr>
        <w:top w:val="none" w:sz="0" w:space="0" w:color="auto"/>
        <w:left w:val="none" w:sz="0" w:space="0" w:color="auto"/>
        <w:bottom w:val="none" w:sz="0" w:space="0" w:color="auto"/>
        <w:right w:val="none" w:sz="0" w:space="0" w:color="auto"/>
      </w:divBdr>
    </w:div>
    <w:div w:id="2073236867">
      <w:bodyDiv w:val="1"/>
      <w:marLeft w:val="0"/>
      <w:marRight w:val="0"/>
      <w:marTop w:val="0"/>
      <w:marBottom w:val="0"/>
      <w:divBdr>
        <w:top w:val="none" w:sz="0" w:space="0" w:color="auto"/>
        <w:left w:val="none" w:sz="0" w:space="0" w:color="auto"/>
        <w:bottom w:val="none" w:sz="0" w:space="0" w:color="auto"/>
        <w:right w:val="none" w:sz="0" w:space="0" w:color="auto"/>
      </w:divBdr>
    </w:div>
    <w:div w:id="2088846732">
      <w:bodyDiv w:val="1"/>
      <w:marLeft w:val="0"/>
      <w:marRight w:val="0"/>
      <w:marTop w:val="0"/>
      <w:marBottom w:val="0"/>
      <w:divBdr>
        <w:top w:val="none" w:sz="0" w:space="0" w:color="auto"/>
        <w:left w:val="none" w:sz="0" w:space="0" w:color="auto"/>
        <w:bottom w:val="none" w:sz="0" w:space="0" w:color="auto"/>
        <w:right w:val="none" w:sz="0" w:space="0" w:color="auto"/>
      </w:divBdr>
      <w:divsChild>
        <w:div w:id="1245146039">
          <w:marLeft w:val="-720"/>
          <w:marRight w:val="0"/>
          <w:marTop w:val="0"/>
          <w:marBottom w:val="0"/>
          <w:divBdr>
            <w:top w:val="none" w:sz="0" w:space="0" w:color="auto"/>
            <w:left w:val="none" w:sz="0" w:space="0" w:color="auto"/>
            <w:bottom w:val="none" w:sz="0" w:space="0" w:color="auto"/>
            <w:right w:val="none" w:sz="0" w:space="0" w:color="auto"/>
          </w:divBdr>
        </w:div>
      </w:divsChild>
    </w:div>
    <w:div w:id="2090494094">
      <w:bodyDiv w:val="1"/>
      <w:marLeft w:val="0"/>
      <w:marRight w:val="0"/>
      <w:marTop w:val="0"/>
      <w:marBottom w:val="0"/>
      <w:divBdr>
        <w:top w:val="none" w:sz="0" w:space="0" w:color="auto"/>
        <w:left w:val="none" w:sz="0" w:space="0" w:color="auto"/>
        <w:bottom w:val="none" w:sz="0" w:space="0" w:color="auto"/>
        <w:right w:val="none" w:sz="0" w:space="0" w:color="auto"/>
      </w:divBdr>
    </w:div>
    <w:div w:id="2092196557">
      <w:bodyDiv w:val="1"/>
      <w:marLeft w:val="0"/>
      <w:marRight w:val="0"/>
      <w:marTop w:val="0"/>
      <w:marBottom w:val="0"/>
      <w:divBdr>
        <w:top w:val="none" w:sz="0" w:space="0" w:color="auto"/>
        <w:left w:val="none" w:sz="0" w:space="0" w:color="auto"/>
        <w:bottom w:val="none" w:sz="0" w:space="0" w:color="auto"/>
        <w:right w:val="none" w:sz="0" w:space="0" w:color="auto"/>
      </w:divBdr>
    </w:div>
    <w:div w:id="2098358759">
      <w:bodyDiv w:val="1"/>
      <w:marLeft w:val="0"/>
      <w:marRight w:val="0"/>
      <w:marTop w:val="0"/>
      <w:marBottom w:val="0"/>
      <w:divBdr>
        <w:top w:val="none" w:sz="0" w:space="0" w:color="auto"/>
        <w:left w:val="none" w:sz="0" w:space="0" w:color="auto"/>
        <w:bottom w:val="none" w:sz="0" w:space="0" w:color="auto"/>
        <w:right w:val="none" w:sz="0" w:space="0" w:color="auto"/>
      </w:divBdr>
    </w:div>
    <w:div w:id="2098745652">
      <w:bodyDiv w:val="1"/>
      <w:marLeft w:val="0"/>
      <w:marRight w:val="0"/>
      <w:marTop w:val="0"/>
      <w:marBottom w:val="0"/>
      <w:divBdr>
        <w:top w:val="none" w:sz="0" w:space="0" w:color="auto"/>
        <w:left w:val="none" w:sz="0" w:space="0" w:color="auto"/>
        <w:bottom w:val="none" w:sz="0" w:space="0" w:color="auto"/>
        <w:right w:val="none" w:sz="0" w:space="0" w:color="auto"/>
      </w:divBdr>
    </w:div>
    <w:div w:id="2110923750">
      <w:bodyDiv w:val="1"/>
      <w:marLeft w:val="0"/>
      <w:marRight w:val="0"/>
      <w:marTop w:val="0"/>
      <w:marBottom w:val="0"/>
      <w:divBdr>
        <w:top w:val="none" w:sz="0" w:space="0" w:color="auto"/>
        <w:left w:val="none" w:sz="0" w:space="0" w:color="auto"/>
        <w:bottom w:val="none" w:sz="0" w:space="0" w:color="auto"/>
        <w:right w:val="none" w:sz="0" w:space="0" w:color="auto"/>
      </w:divBdr>
    </w:div>
    <w:div w:id="2110929155">
      <w:bodyDiv w:val="1"/>
      <w:marLeft w:val="0"/>
      <w:marRight w:val="0"/>
      <w:marTop w:val="0"/>
      <w:marBottom w:val="0"/>
      <w:divBdr>
        <w:top w:val="none" w:sz="0" w:space="0" w:color="auto"/>
        <w:left w:val="none" w:sz="0" w:space="0" w:color="auto"/>
        <w:bottom w:val="none" w:sz="0" w:space="0" w:color="auto"/>
        <w:right w:val="none" w:sz="0" w:space="0" w:color="auto"/>
      </w:divBdr>
      <w:divsChild>
        <w:div w:id="1945922721">
          <w:marLeft w:val="-720"/>
          <w:marRight w:val="0"/>
          <w:marTop w:val="0"/>
          <w:marBottom w:val="0"/>
          <w:divBdr>
            <w:top w:val="none" w:sz="0" w:space="0" w:color="auto"/>
            <w:left w:val="none" w:sz="0" w:space="0" w:color="auto"/>
            <w:bottom w:val="none" w:sz="0" w:space="0" w:color="auto"/>
            <w:right w:val="none" w:sz="0" w:space="0" w:color="auto"/>
          </w:divBdr>
        </w:div>
      </w:divsChild>
    </w:div>
    <w:div w:id="2119908681">
      <w:bodyDiv w:val="1"/>
      <w:marLeft w:val="0"/>
      <w:marRight w:val="0"/>
      <w:marTop w:val="0"/>
      <w:marBottom w:val="0"/>
      <w:divBdr>
        <w:top w:val="none" w:sz="0" w:space="0" w:color="auto"/>
        <w:left w:val="none" w:sz="0" w:space="0" w:color="auto"/>
        <w:bottom w:val="none" w:sz="0" w:space="0" w:color="auto"/>
        <w:right w:val="none" w:sz="0" w:space="0" w:color="auto"/>
      </w:divBdr>
    </w:div>
    <w:div w:id="2130970345">
      <w:bodyDiv w:val="1"/>
      <w:marLeft w:val="0"/>
      <w:marRight w:val="0"/>
      <w:marTop w:val="0"/>
      <w:marBottom w:val="0"/>
      <w:divBdr>
        <w:top w:val="none" w:sz="0" w:space="0" w:color="auto"/>
        <w:left w:val="none" w:sz="0" w:space="0" w:color="auto"/>
        <w:bottom w:val="none" w:sz="0" w:space="0" w:color="auto"/>
        <w:right w:val="none" w:sz="0" w:space="0" w:color="auto"/>
      </w:divBdr>
    </w:div>
    <w:div w:id="2131584638">
      <w:bodyDiv w:val="1"/>
      <w:marLeft w:val="0"/>
      <w:marRight w:val="0"/>
      <w:marTop w:val="0"/>
      <w:marBottom w:val="0"/>
      <w:divBdr>
        <w:top w:val="none" w:sz="0" w:space="0" w:color="auto"/>
        <w:left w:val="none" w:sz="0" w:space="0" w:color="auto"/>
        <w:bottom w:val="none" w:sz="0" w:space="0" w:color="auto"/>
        <w:right w:val="none" w:sz="0" w:space="0" w:color="auto"/>
      </w:divBdr>
    </w:div>
    <w:div w:id="2146041957">
      <w:bodyDiv w:val="1"/>
      <w:marLeft w:val="0"/>
      <w:marRight w:val="0"/>
      <w:marTop w:val="0"/>
      <w:marBottom w:val="0"/>
      <w:divBdr>
        <w:top w:val="none" w:sz="0" w:space="0" w:color="auto"/>
        <w:left w:val="none" w:sz="0" w:space="0" w:color="auto"/>
        <w:bottom w:val="none" w:sz="0" w:space="0" w:color="auto"/>
        <w:right w:val="none" w:sz="0" w:space="0" w:color="auto"/>
      </w:divBdr>
    </w:div>
    <w:div w:id="21463122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37/ocp000005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108/1362043041055075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gelone.in/news/share-market/tcs-infosys-hcl-tech-wipro-a-quick-look-at-attrition-rates-and-headcount-in-q1fy26" TargetMode="External"/><Relationship Id="rId5" Type="http://schemas.openxmlformats.org/officeDocument/2006/relationships/webSettings" Target="webSettings.xml"/><Relationship Id="rId15" Type="http://schemas.openxmlformats.org/officeDocument/2006/relationships/hyperlink" Target="https://doi.org/10.1177/0018726702055001602" TargetMode="External"/><Relationship Id="rId10" Type="http://schemas.openxmlformats.org/officeDocument/2006/relationships/hyperlink" Target="https://doi.org/10.1016/S0065-2601(08)6010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111/j.1744-6570.1988.tb00632.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9CFF8-27DC-42EE-BFC5-CE806C5E7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42</Pages>
  <Words>6429</Words>
  <Characters>36651</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Coventry University</Company>
  <LinksUpToDate>false</LinksUpToDate>
  <CharactersWithSpaces>42995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Ashok Sunuwar</dc:creator>
  <cp:keywords/>
  <cp:lastModifiedBy>Ashok Sunuwar</cp:lastModifiedBy>
  <cp:revision>965</cp:revision>
  <cp:lastPrinted>2024-12-12T03:53:00Z</cp:lastPrinted>
  <dcterms:created xsi:type="dcterms:W3CDTF">2024-11-05T00:57:00Z</dcterms:created>
  <dcterms:modified xsi:type="dcterms:W3CDTF">2026-08-11T11:32:00Z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c2f2d092d396e797cc63394430e9cd03ffddedd7594e7efc88fac3b6d09801b2</vt:lpwstr>
  </property>
</Properties>
</file>